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16AC6">
      <w:pPr>
        <w:jc w:val="center"/>
        <w:rPr>
          <w:rFonts w:hint="eastAsia" w:ascii="楷体" w:hAnsi="楷体" w:eastAsia="楷体"/>
          <w:b/>
          <w:sz w:val="32"/>
          <w:szCs w:val="32"/>
          <w:lang w:eastAsia="zh-CN"/>
        </w:rPr>
      </w:pPr>
      <w:bookmarkStart w:id="0" w:name="_GoBack"/>
      <w:bookmarkEnd w:id="0"/>
      <w:r>
        <w:rPr>
          <w:rFonts w:hint="eastAsia" w:ascii="楷体" w:hAnsi="楷体" w:eastAsia="楷体"/>
          <w:b/>
          <w:sz w:val="32"/>
          <w:szCs w:val="32"/>
          <w:lang w:eastAsia="zh-CN"/>
        </w:rPr>
        <w:t>重庆迎邦钙业有限公司</w:t>
      </w:r>
    </w:p>
    <w:p w14:paraId="35325BCD">
      <w:pPr>
        <w:jc w:val="center"/>
        <w:rPr>
          <w:rFonts w:hint="eastAsia" w:ascii="楷体" w:hAnsi="楷体" w:eastAsia="楷体"/>
          <w:b/>
          <w:spacing w:val="-14"/>
          <w:sz w:val="32"/>
          <w:szCs w:val="32"/>
          <w:lang w:eastAsia="zh-CN"/>
        </w:rPr>
      </w:pPr>
      <w:r>
        <w:rPr>
          <w:rFonts w:hint="eastAsia" w:ascii="楷体" w:hAnsi="楷体" w:eastAsia="楷体"/>
          <w:b/>
          <w:spacing w:val="-14"/>
          <w:sz w:val="32"/>
          <w:szCs w:val="32"/>
          <w:lang w:eastAsia="zh-CN"/>
        </w:rPr>
        <w:t>氢氧化钙生产线扩建项目</w:t>
      </w:r>
    </w:p>
    <w:p w14:paraId="67F8A787">
      <w:pPr>
        <w:jc w:val="center"/>
        <w:rPr>
          <w:rFonts w:ascii="楷体" w:hAnsi="楷体" w:eastAsia="楷体"/>
          <w:b/>
          <w:sz w:val="32"/>
          <w:szCs w:val="32"/>
        </w:rPr>
      </w:pPr>
      <w:r>
        <w:rPr>
          <w:rFonts w:hint="eastAsia" w:ascii="楷体" w:hAnsi="楷体" w:eastAsia="楷体"/>
          <w:b/>
          <w:sz w:val="32"/>
          <w:szCs w:val="32"/>
        </w:rPr>
        <w:t>竣工环境保护验收意见</w:t>
      </w:r>
    </w:p>
    <w:p w14:paraId="493FE100">
      <w:pPr>
        <w:pStyle w:val="3"/>
      </w:pPr>
    </w:p>
    <w:p w14:paraId="32A7999D">
      <w:pPr>
        <w:spacing w:line="360" w:lineRule="auto"/>
        <w:ind w:firstLine="480" w:firstLineChars="200"/>
        <w:rPr>
          <w:rFonts w:ascii="Times New Roman" w:hAnsi="Times New Roman" w:eastAsia="楷体_GB2312" w:cs="Times New Roman"/>
          <w:sz w:val="24"/>
          <w:szCs w:val="24"/>
        </w:rPr>
      </w:pPr>
      <w:r>
        <w:rPr>
          <w:rFonts w:hint="eastAsia" w:ascii="Times New Roman" w:hAnsi="Times New Roman" w:eastAsia="楷体_GB2312" w:cs="Times New Roman"/>
          <w:sz w:val="24"/>
          <w:szCs w:val="24"/>
        </w:rPr>
        <w:t>202</w:t>
      </w:r>
      <w:r>
        <w:rPr>
          <w:rFonts w:hint="eastAsia" w:ascii="Times New Roman" w:hAnsi="Times New Roman" w:eastAsia="楷体_GB2312" w:cs="Times New Roman"/>
          <w:sz w:val="24"/>
          <w:szCs w:val="24"/>
          <w:lang w:val="en-US" w:eastAsia="zh-CN"/>
        </w:rPr>
        <w:t>6</w:t>
      </w:r>
      <w:r>
        <w:rPr>
          <w:rFonts w:hint="eastAsia" w:ascii="Times New Roman" w:hAnsi="Times New Roman" w:eastAsia="楷体_GB2312" w:cs="Times New Roman"/>
          <w:sz w:val="24"/>
          <w:szCs w:val="24"/>
        </w:rPr>
        <w:t>年</w:t>
      </w:r>
      <w:r>
        <w:rPr>
          <w:rFonts w:hint="eastAsia" w:ascii="Times New Roman" w:hAnsi="Times New Roman" w:eastAsia="楷体_GB2312" w:cs="Times New Roman"/>
          <w:sz w:val="24"/>
          <w:szCs w:val="24"/>
          <w:lang w:val="en-US" w:eastAsia="zh-CN"/>
        </w:rPr>
        <w:t>1</w:t>
      </w:r>
      <w:r>
        <w:rPr>
          <w:rFonts w:hint="eastAsia" w:ascii="Times New Roman" w:hAnsi="Times New Roman" w:eastAsia="楷体_GB2312" w:cs="Times New Roman"/>
          <w:sz w:val="24"/>
          <w:szCs w:val="24"/>
        </w:rPr>
        <w:t>月</w:t>
      </w:r>
      <w:r>
        <w:rPr>
          <w:rFonts w:hint="eastAsia" w:ascii="Times New Roman" w:hAnsi="Times New Roman" w:eastAsia="楷体_GB2312" w:cs="Times New Roman"/>
          <w:sz w:val="24"/>
          <w:szCs w:val="24"/>
          <w:lang w:val="en-US" w:eastAsia="zh-CN"/>
        </w:rPr>
        <w:t>11</w:t>
      </w:r>
      <w:r>
        <w:rPr>
          <w:rFonts w:hint="eastAsia" w:ascii="Times New Roman" w:hAnsi="Times New Roman" w:eastAsia="楷体_GB2312" w:cs="Times New Roman"/>
          <w:sz w:val="24"/>
          <w:szCs w:val="24"/>
        </w:rPr>
        <w:t>日，</w:t>
      </w:r>
      <w:r>
        <w:rPr>
          <w:rFonts w:hint="eastAsia" w:ascii="Times New Roman" w:hAnsi="Times New Roman" w:eastAsia="楷体_GB2312" w:cs="Times New Roman"/>
          <w:sz w:val="24"/>
          <w:szCs w:val="24"/>
          <w:lang w:eastAsia="zh-CN"/>
        </w:rPr>
        <w:t>重庆迎邦钙业有限公司</w:t>
      </w:r>
      <w:r>
        <w:rPr>
          <w:rFonts w:ascii="Times New Roman" w:hAnsi="Times New Roman" w:eastAsia="楷体_GB2312" w:cs="Times New Roman"/>
          <w:sz w:val="24"/>
          <w:szCs w:val="24"/>
        </w:rPr>
        <w:t>组织</w:t>
      </w:r>
      <w:r>
        <w:rPr>
          <w:rFonts w:hint="eastAsia" w:ascii="Times New Roman" w:hAnsi="Times New Roman" w:eastAsia="楷体_GB2312" w:cs="Times New Roman"/>
          <w:sz w:val="24"/>
          <w:szCs w:val="24"/>
        </w:rPr>
        <w:t>环保</w:t>
      </w:r>
      <w:r>
        <w:rPr>
          <w:rFonts w:ascii="Times New Roman" w:hAnsi="Times New Roman" w:eastAsia="楷体_GB2312" w:cs="Times New Roman"/>
          <w:sz w:val="24"/>
          <w:szCs w:val="24"/>
        </w:rPr>
        <w:t>专家召开了</w:t>
      </w:r>
      <w:r>
        <w:rPr>
          <w:rFonts w:hint="eastAsia" w:ascii="Times New Roman" w:hAnsi="Times New Roman" w:eastAsia="楷体_GB2312" w:cs="Times New Roman"/>
          <w:sz w:val="24"/>
          <w:szCs w:val="24"/>
        </w:rPr>
        <w:t>“</w:t>
      </w:r>
      <w:r>
        <w:rPr>
          <w:rFonts w:hint="eastAsia" w:ascii="Times New Roman" w:hAnsi="Times New Roman" w:eastAsia="楷体_GB2312" w:cs="Times New Roman"/>
          <w:sz w:val="24"/>
          <w:szCs w:val="24"/>
          <w:lang w:eastAsia="zh-CN"/>
        </w:rPr>
        <w:t>氢氧化钙生产线扩建项目</w:t>
      </w: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竣工环境保护验收会</w:t>
      </w: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验收组通过现场踏勘</w:t>
      </w: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以及听取建设单位对该项目在建设中执行环境影响评价和</w:t>
      </w: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三同时</w:t>
      </w: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制度情况的介绍</w:t>
      </w:r>
      <w:r>
        <w:rPr>
          <w:rFonts w:hint="eastAsia" w:ascii="Times New Roman" w:hAnsi="Times New Roman" w:eastAsia="楷体_GB2312" w:cs="Times New Roman"/>
          <w:sz w:val="24"/>
          <w:szCs w:val="24"/>
        </w:rPr>
        <w:t>，查阅相关资料后</w:t>
      </w:r>
      <w:r>
        <w:rPr>
          <w:rFonts w:ascii="Times New Roman" w:hAnsi="Times New Roman" w:eastAsia="楷体_GB2312" w:cs="Times New Roman"/>
          <w:sz w:val="24"/>
          <w:szCs w:val="24"/>
        </w:rPr>
        <w:t>形成</w:t>
      </w:r>
      <w:r>
        <w:rPr>
          <w:rFonts w:hint="eastAsia" w:ascii="Times New Roman" w:hAnsi="Times New Roman" w:eastAsia="楷体_GB2312" w:cs="Times New Roman"/>
          <w:sz w:val="24"/>
          <w:szCs w:val="24"/>
        </w:rPr>
        <w:t>了以下</w:t>
      </w:r>
      <w:r>
        <w:rPr>
          <w:rFonts w:ascii="Times New Roman" w:hAnsi="Times New Roman" w:eastAsia="楷体_GB2312" w:cs="Times New Roman"/>
          <w:sz w:val="24"/>
          <w:szCs w:val="24"/>
        </w:rPr>
        <w:t>竣工环境保护验收意见</w:t>
      </w:r>
      <w:r>
        <w:rPr>
          <w:rFonts w:hint="eastAsia" w:ascii="Times New Roman" w:hAnsi="Times New Roman" w:eastAsia="楷体_GB2312" w:cs="Times New Roman"/>
          <w:sz w:val="24"/>
          <w:szCs w:val="24"/>
        </w:rPr>
        <w:t>：</w:t>
      </w:r>
    </w:p>
    <w:p w14:paraId="62BCE2FE">
      <w:pPr>
        <w:spacing w:line="360" w:lineRule="auto"/>
        <w:ind w:firstLine="482" w:firstLineChars="200"/>
        <w:rPr>
          <w:rFonts w:ascii="Times New Roman" w:hAnsi="Times New Roman" w:eastAsia="楷体_GB2312" w:cs="Times New Roman"/>
          <w:b/>
          <w:sz w:val="24"/>
          <w:szCs w:val="24"/>
        </w:rPr>
      </w:pPr>
      <w:r>
        <w:rPr>
          <w:rFonts w:ascii="Times New Roman" w:hAnsi="Times New Roman" w:eastAsia="楷体_GB2312" w:cs="Times New Roman"/>
          <w:b/>
          <w:sz w:val="24"/>
          <w:szCs w:val="24"/>
        </w:rPr>
        <w:t>一、工程建设基本情况</w:t>
      </w:r>
    </w:p>
    <w:p w14:paraId="035D04A4">
      <w:pPr>
        <w:spacing w:line="360" w:lineRule="auto"/>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（一）建设地点、规模、主要建设内容</w:t>
      </w:r>
    </w:p>
    <w:p w14:paraId="09C7FA06">
      <w:pPr>
        <w:pStyle w:val="32"/>
        <w:numPr>
          <w:ilvl w:val="0"/>
          <w:numId w:val="0"/>
        </w:numPr>
        <w:bidi w:val="0"/>
        <w:ind w:leftChars="200" w:firstLine="480" w:firstLineChars="200"/>
        <w:jc w:val="left"/>
        <w:rPr>
          <w:rFonts w:ascii="Times New Roman" w:hAnsi="Times New Roman" w:eastAsia="楷体_GB2312" w:cs="Times New Roman"/>
          <w:sz w:val="24"/>
          <w:szCs w:val="24"/>
          <w:lang w:val="pt-BR"/>
        </w:rPr>
      </w:pPr>
      <w:r>
        <w:rPr>
          <w:rFonts w:ascii="Times New Roman" w:hAnsi="Times New Roman" w:eastAsia="楷体_GB2312" w:cs="Times New Roman"/>
          <w:sz w:val="24"/>
          <w:szCs w:val="24"/>
        </w:rPr>
        <w:t>环评</w:t>
      </w:r>
      <w:r>
        <w:rPr>
          <w:rFonts w:hint="eastAsia" w:ascii="Times New Roman" w:hAnsi="Times New Roman" w:eastAsia="楷体_GB2312" w:cs="Times New Roman"/>
          <w:sz w:val="24"/>
          <w:szCs w:val="24"/>
        </w:rPr>
        <w:t>的</w:t>
      </w:r>
      <w:r>
        <w:rPr>
          <w:rFonts w:ascii="Times New Roman" w:hAnsi="Times New Roman" w:eastAsia="楷体_GB2312" w:cs="Times New Roman"/>
          <w:sz w:val="24"/>
          <w:szCs w:val="24"/>
        </w:rPr>
        <w:t>主要建设内容</w:t>
      </w:r>
      <w:r>
        <w:rPr>
          <w:rFonts w:hint="eastAsia" w:ascii="Times New Roman" w:hAnsi="Times New Roman" w:eastAsia="楷体_GB2312" w:cs="Times New Roman"/>
          <w:sz w:val="24"/>
          <w:szCs w:val="24"/>
        </w:rPr>
        <w:t>：</w:t>
      </w:r>
      <w:r>
        <w:rPr>
          <w:rFonts w:hint="eastAsia" w:ascii="Times New Roman" w:hAnsi="Times New Roman" w:eastAsia="楷体_GB2312" w:cs="Times New Roman"/>
        </w:rPr>
        <w:t>项目位于</w:t>
      </w:r>
      <w:r>
        <w:rPr>
          <w:rFonts w:hint="eastAsia" w:ascii="Times New Roman" w:hAnsi="Times New Roman" w:eastAsia="楷体_GB2312" w:cs="Times New Roman"/>
          <w:lang w:val="en-US" w:eastAsia="zh-CN"/>
        </w:rPr>
        <w:t>重庆市万州区茨竹乡盛家村五组）</w:t>
      </w:r>
      <w:r>
        <w:rPr>
          <w:rFonts w:hint="default" w:ascii="Times New Roman" w:hAnsi="Times New Roman" w:eastAsia="楷体_GB2312" w:cs="Times New Roman"/>
          <w:lang w:val="en-US" w:eastAsia="zh-CN"/>
        </w:rPr>
        <w:t>，本次扩建利用重庆市江南矿业有限公司采矿区内场地北侧区域，不新增占地，购置双段锁风阀、消化机、除杂筛、分选机、选磨一体机、螺旋输送机等设备，安装原料仓1座，中转仓1座、成品仓4座，增加氢氧化钙生产线1条，利用原项目产出的生石灰进行三级消化，达到年产2.5万吨的生产能力。项目总投资80万元，其中环保投资20万元。</w:t>
      </w:r>
    </w:p>
    <w:p w14:paraId="035AAF63">
      <w:pPr>
        <w:pStyle w:val="32"/>
        <w:numPr>
          <w:ilvl w:val="0"/>
          <w:numId w:val="0"/>
        </w:numPr>
        <w:bidi w:val="0"/>
        <w:ind w:leftChars="200" w:firstLine="480" w:firstLineChars="200"/>
        <w:jc w:val="left"/>
        <w:rPr>
          <w:rFonts w:hint="default" w:asciiTheme="minorHAnsi" w:hAnsiTheme="minorHAnsi" w:eastAsiaTheme="minorEastAsia" w:cstheme="minorBidi"/>
          <w:color w:val="auto"/>
          <w:kern w:val="0"/>
          <w:sz w:val="24"/>
          <w:szCs w:val="20"/>
          <w:highlight w:val="none"/>
          <w:lang w:val="en-US" w:eastAsia="zh-CN" w:bidi="ar-SA"/>
        </w:rPr>
      </w:pPr>
      <w:r>
        <w:rPr>
          <w:rFonts w:eastAsia="楷体_GB2312" w:cs="Times New Roman"/>
        </w:rPr>
        <w:t>项目实际建设情况</w:t>
      </w:r>
      <w:r>
        <w:rPr>
          <w:rFonts w:hint="eastAsia" w:eastAsia="楷体_GB2312" w:cs="Times New Roman"/>
        </w:rPr>
        <w:t>：</w:t>
      </w:r>
      <w:r>
        <w:rPr>
          <w:rFonts w:hint="eastAsia" w:ascii="Times New Roman" w:hAnsi="Times New Roman" w:eastAsia="楷体_GB2312" w:cs="Times New Roman"/>
        </w:rPr>
        <w:t>项目位于</w:t>
      </w:r>
      <w:r>
        <w:rPr>
          <w:rFonts w:hint="eastAsia" w:ascii="Times New Roman" w:hAnsi="Times New Roman" w:eastAsia="楷体_GB2312" w:cs="Times New Roman"/>
          <w:lang w:val="en-US" w:eastAsia="zh-CN"/>
        </w:rPr>
        <w:t>重庆市万州区茨竹乡盛家村五组）</w:t>
      </w:r>
      <w:r>
        <w:rPr>
          <w:rFonts w:hint="default" w:ascii="Times New Roman" w:hAnsi="Times New Roman" w:eastAsia="楷体_GB2312" w:cs="Times New Roman"/>
          <w:lang w:val="en-US" w:eastAsia="zh-CN"/>
        </w:rPr>
        <w:t>，本次扩建利用重庆市江南矿业有限公司采矿区内场地北侧区域，不新增占地，购置双段锁风阀、消化机、除杂筛、分选机、选磨一体机、螺旋输送机等设备，安装原料仓1座，中转仓1座、成品仓4座，增加氢氧化钙生产线1条，利用原项目产出的生石灰进行三级消化，达到年产2.5万吨的生产能力。项目总投资80万元，其中环保投资20万元。</w:t>
      </w:r>
    </w:p>
    <w:p w14:paraId="447238F5">
      <w:pPr>
        <w:spacing w:line="360" w:lineRule="auto"/>
        <w:rPr>
          <w:rFonts w:ascii="Times New Roman" w:hAnsi="Times New Roman" w:eastAsia="楷体_GB2312" w:cs="Times New Roman"/>
          <w:sz w:val="24"/>
          <w:szCs w:val="24"/>
        </w:rPr>
      </w:pPr>
      <w:r>
        <w:rPr>
          <w:rFonts w:ascii="Times New Roman" w:hAnsi="Times New Roman" w:eastAsia="楷体_GB2312" w:cs="Times New Roman"/>
          <w:sz w:val="24"/>
          <w:szCs w:val="24"/>
        </w:rPr>
        <w:t>（二）建设过程及环保审批情况</w:t>
      </w:r>
    </w:p>
    <w:p w14:paraId="77A2055F">
      <w:pPr>
        <w:spacing w:line="360" w:lineRule="auto"/>
        <w:ind w:firstLine="480" w:firstLineChars="200"/>
        <w:rPr>
          <w:rFonts w:ascii="Times New Roman" w:hAnsi="Times New Roman" w:eastAsia="楷体_GB2312" w:cs="Times New Roman"/>
          <w:sz w:val="24"/>
          <w:szCs w:val="24"/>
        </w:rPr>
      </w:pP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1）该项目于202</w:t>
      </w:r>
      <w:r>
        <w:rPr>
          <w:rFonts w:hint="eastAsia" w:ascii="Times New Roman" w:hAnsi="Times New Roman" w:eastAsia="楷体_GB2312" w:cs="Times New Roman"/>
          <w:sz w:val="24"/>
          <w:szCs w:val="24"/>
          <w:lang w:val="en-US" w:eastAsia="zh-CN"/>
        </w:rPr>
        <w:t>5</w:t>
      </w:r>
      <w:r>
        <w:rPr>
          <w:rFonts w:ascii="Times New Roman" w:hAnsi="Times New Roman" w:eastAsia="楷体_GB2312" w:cs="Times New Roman"/>
          <w:sz w:val="24"/>
          <w:szCs w:val="24"/>
        </w:rPr>
        <w:t>年</w:t>
      </w:r>
      <w:r>
        <w:rPr>
          <w:rFonts w:hint="eastAsia" w:ascii="Times New Roman" w:hAnsi="Times New Roman" w:eastAsia="楷体_GB2312" w:cs="Times New Roman"/>
          <w:sz w:val="24"/>
          <w:szCs w:val="24"/>
          <w:lang w:val="en-US" w:eastAsia="zh-CN"/>
        </w:rPr>
        <w:t>10</w:t>
      </w:r>
      <w:r>
        <w:rPr>
          <w:rFonts w:ascii="Times New Roman" w:hAnsi="Times New Roman" w:eastAsia="楷体_GB2312" w:cs="Times New Roman"/>
          <w:sz w:val="24"/>
          <w:szCs w:val="24"/>
        </w:rPr>
        <w:t>月委托重庆长嵘环保科技有限公司编制了《</w:t>
      </w:r>
      <w:r>
        <w:rPr>
          <w:rFonts w:hint="eastAsia" w:ascii="Times New Roman" w:hAnsi="Times New Roman" w:eastAsia="楷体_GB2312" w:cs="Times New Roman"/>
          <w:sz w:val="24"/>
          <w:szCs w:val="24"/>
          <w:lang w:eastAsia="zh-CN"/>
        </w:rPr>
        <w:t>氢氧化钙生产线扩建项目</w:t>
      </w:r>
      <w:r>
        <w:rPr>
          <w:rFonts w:ascii="Times New Roman" w:hAnsi="Times New Roman" w:eastAsia="楷体_GB2312" w:cs="Times New Roman"/>
          <w:sz w:val="24"/>
          <w:szCs w:val="24"/>
        </w:rPr>
        <w:t>建设项目环境影响报告表》</w:t>
      </w: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202</w:t>
      </w:r>
      <w:r>
        <w:rPr>
          <w:rFonts w:hint="eastAsia" w:ascii="Times New Roman" w:hAnsi="Times New Roman" w:eastAsia="楷体_GB2312" w:cs="Times New Roman"/>
          <w:sz w:val="24"/>
          <w:szCs w:val="24"/>
          <w:lang w:val="en-US" w:eastAsia="zh-CN"/>
        </w:rPr>
        <w:t>5</w:t>
      </w:r>
      <w:r>
        <w:rPr>
          <w:rFonts w:ascii="Times New Roman" w:hAnsi="Times New Roman" w:eastAsia="楷体_GB2312" w:cs="Times New Roman"/>
          <w:sz w:val="24"/>
          <w:szCs w:val="24"/>
        </w:rPr>
        <w:t>年</w:t>
      </w:r>
      <w:r>
        <w:rPr>
          <w:rFonts w:hint="eastAsia" w:ascii="Times New Roman" w:hAnsi="Times New Roman" w:eastAsia="楷体_GB2312" w:cs="Times New Roman"/>
          <w:sz w:val="24"/>
          <w:szCs w:val="24"/>
          <w:lang w:val="en-US" w:eastAsia="zh-CN"/>
        </w:rPr>
        <w:t>12</w:t>
      </w:r>
      <w:r>
        <w:rPr>
          <w:rFonts w:ascii="Times New Roman" w:hAnsi="Times New Roman" w:eastAsia="楷体_GB2312" w:cs="Times New Roman"/>
          <w:sz w:val="24"/>
          <w:szCs w:val="24"/>
        </w:rPr>
        <w:t>月</w:t>
      </w:r>
      <w:r>
        <w:rPr>
          <w:rFonts w:hint="eastAsia" w:ascii="Times New Roman" w:hAnsi="Times New Roman" w:eastAsia="楷体_GB2312" w:cs="Times New Roman"/>
          <w:sz w:val="24"/>
          <w:szCs w:val="24"/>
          <w:lang w:val="en-US" w:eastAsia="zh-CN"/>
        </w:rPr>
        <w:t>1</w:t>
      </w:r>
      <w:r>
        <w:rPr>
          <w:rFonts w:ascii="Times New Roman" w:hAnsi="Times New Roman" w:eastAsia="楷体_GB2312" w:cs="Times New Roman"/>
          <w:sz w:val="24"/>
          <w:szCs w:val="24"/>
        </w:rPr>
        <w:t>日取得了重庆市万州区生态环境局下发的重庆市建设项目环境影响评价文件批准书《渝(万)环准〔202</w:t>
      </w:r>
      <w:r>
        <w:rPr>
          <w:rFonts w:hint="eastAsia" w:ascii="Times New Roman" w:hAnsi="Times New Roman" w:eastAsia="楷体_GB2312" w:cs="Times New Roman"/>
          <w:sz w:val="24"/>
          <w:szCs w:val="24"/>
          <w:lang w:val="en-US" w:eastAsia="zh-CN"/>
        </w:rPr>
        <w:t>5</w:t>
      </w:r>
      <w:r>
        <w:rPr>
          <w:rFonts w:ascii="Times New Roman" w:hAnsi="Times New Roman" w:eastAsia="楷体_GB2312" w:cs="Times New Roman"/>
          <w:sz w:val="24"/>
          <w:szCs w:val="24"/>
        </w:rPr>
        <w:t>】</w:t>
      </w:r>
      <w:r>
        <w:rPr>
          <w:rFonts w:hint="eastAsia" w:ascii="Times New Roman" w:hAnsi="Times New Roman" w:eastAsia="楷体_GB2312" w:cs="Times New Roman"/>
          <w:sz w:val="24"/>
          <w:szCs w:val="24"/>
          <w:lang w:val="en-US" w:eastAsia="zh-CN"/>
        </w:rPr>
        <w:t>65</w:t>
      </w:r>
      <w:r>
        <w:rPr>
          <w:rFonts w:ascii="Times New Roman" w:hAnsi="Times New Roman" w:eastAsia="楷体_GB2312" w:cs="Times New Roman"/>
          <w:sz w:val="24"/>
          <w:szCs w:val="24"/>
        </w:rPr>
        <w:t>号》。</w:t>
      </w:r>
    </w:p>
    <w:p w14:paraId="1DB4F930">
      <w:pPr>
        <w:spacing w:line="360" w:lineRule="auto"/>
        <w:ind w:firstLine="480" w:firstLineChars="200"/>
        <w:rPr>
          <w:rFonts w:ascii="Times New Roman" w:hAnsi="Times New Roman" w:eastAsia="楷体_GB2312" w:cs="Times New Roman"/>
          <w:sz w:val="24"/>
          <w:szCs w:val="24"/>
        </w:rPr>
      </w:pP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2）项目于2025年</w:t>
      </w:r>
      <w:r>
        <w:rPr>
          <w:rFonts w:hint="eastAsia" w:ascii="Times New Roman" w:hAnsi="Times New Roman" w:eastAsia="楷体_GB2312" w:cs="Times New Roman"/>
          <w:sz w:val="24"/>
          <w:szCs w:val="24"/>
          <w:lang w:val="en-US" w:eastAsia="zh-CN"/>
        </w:rPr>
        <w:t>12</w:t>
      </w:r>
      <w:r>
        <w:rPr>
          <w:rFonts w:ascii="Times New Roman" w:hAnsi="Times New Roman" w:eastAsia="楷体_GB2312" w:cs="Times New Roman"/>
          <w:sz w:val="24"/>
          <w:szCs w:val="24"/>
        </w:rPr>
        <w:t>月开工建设，2025年</w:t>
      </w:r>
      <w:r>
        <w:rPr>
          <w:rFonts w:hint="eastAsia" w:ascii="Times New Roman" w:hAnsi="Times New Roman" w:eastAsia="楷体_GB2312" w:cs="Times New Roman"/>
          <w:sz w:val="24"/>
          <w:szCs w:val="24"/>
          <w:lang w:val="en-US" w:eastAsia="zh-CN"/>
        </w:rPr>
        <w:t>12</w:t>
      </w:r>
      <w:r>
        <w:rPr>
          <w:rFonts w:ascii="Times New Roman" w:hAnsi="Times New Roman" w:eastAsia="楷体_GB2312" w:cs="Times New Roman"/>
          <w:sz w:val="24"/>
          <w:szCs w:val="24"/>
        </w:rPr>
        <w:t>月开始运行和设备调试。</w:t>
      </w:r>
    </w:p>
    <w:p w14:paraId="22A21B40">
      <w:pPr>
        <w:spacing w:line="360" w:lineRule="auto"/>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w:t>
      </w:r>
      <w:r>
        <w:rPr>
          <w:rFonts w:hint="eastAsia" w:ascii="Times New Roman" w:hAnsi="Times New Roman" w:eastAsia="楷体_GB2312" w:cs="Times New Roman"/>
          <w:sz w:val="24"/>
          <w:szCs w:val="24"/>
        </w:rPr>
        <w:t>三</w:t>
      </w:r>
      <w:r>
        <w:rPr>
          <w:rFonts w:ascii="Times New Roman" w:hAnsi="Times New Roman" w:eastAsia="楷体_GB2312" w:cs="Times New Roman"/>
          <w:sz w:val="24"/>
          <w:szCs w:val="24"/>
        </w:rPr>
        <w:t>）验收范围</w:t>
      </w:r>
    </w:p>
    <w:p w14:paraId="3FFC262A">
      <w:pPr>
        <w:spacing w:line="360" w:lineRule="auto"/>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本次验收</w:t>
      </w:r>
      <w:r>
        <w:rPr>
          <w:rFonts w:hint="eastAsia" w:ascii="Times New Roman" w:hAnsi="Times New Roman" w:eastAsia="楷体_GB2312" w:cs="Times New Roman"/>
          <w:sz w:val="24"/>
          <w:szCs w:val="24"/>
          <w:lang w:eastAsia="zh-CN"/>
        </w:rPr>
        <w:t>氢氧化钙生产线扩建项目</w:t>
      </w:r>
      <w:r>
        <w:rPr>
          <w:rFonts w:ascii="Times New Roman" w:hAnsi="Times New Roman" w:eastAsia="楷体_GB2312" w:cs="Times New Roman"/>
          <w:sz w:val="24"/>
          <w:szCs w:val="24"/>
        </w:rPr>
        <w:t>各项环保设施建设运行情况</w:t>
      </w: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并对环保管理制度落实情况进行核查。</w:t>
      </w:r>
    </w:p>
    <w:p w14:paraId="4750F0C6">
      <w:pPr>
        <w:spacing w:line="360" w:lineRule="auto"/>
        <w:ind w:firstLine="482" w:firstLineChars="200"/>
        <w:rPr>
          <w:rFonts w:ascii="Times New Roman" w:hAnsi="Times New Roman" w:eastAsia="楷体_GB2312" w:cs="Times New Roman"/>
          <w:b/>
          <w:sz w:val="24"/>
          <w:szCs w:val="24"/>
        </w:rPr>
      </w:pPr>
      <w:r>
        <w:rPr>
          <w:rFonts w:ascii="Times New Roman" w:hAnsi="Times New Roman" w:eastAsia="楷体_GB2312" w:cs="Times New Roman"/>
          <w:b/>
          <w:sz w:val="24"/>
          <w:szCs w:val="24"/>
        </w:rPr>
        <w:t>二、工程变动情况</w:t>
      </w:r>
    </w:p>
    <w:p w14:paraId="256F450D">
      <w:pPr>
        <w:spacing w:line="360" w:lineRule="auto"/>
        <w:ind w:firstLine="480" w:firstLineChars="200"/>
        <w:rPr>
          <w:rFonts w:ascii="Times New Roman" w:hAnsi="Times New Roman" w:eastAsia="楷体_GB2312" w:cs="Times New Roman"/>
          <w:sz w:val="24"/>
          <w:szCs w:val="24"/>
        </w:rPr>
      </w:pPr>
      <w:r>
        <w:rPr>
          <w:rFonts w:hint="eastAsia" w:ascii="Times New Roman" w:hAnsi="Times New Roman" w:eastAsia="楷体_GB2312" w:cs="Times New Roman"/>
          <w:sz w:val="24"/>
          <w:szCs w:val="24"/>
        </w:rPr>
        <w:t>对照《污染影响类建设项目重大变动清单（试行）》，本项目属于分段验收，本次验收的</w:t>
      </w:r>
      <w:r>
        <w:rPr>
          <w:rFonts w:hint="eastAsia" w:ascii="Times New Roman" w:hAnsi="Times New Roman" w:eastAsia="楷体_GB2312" w:cs="Times New Roman"/>
          <w:sz w:val="24"/>
          <w:szCs w:val="24"/>
          <w:lang w:eastAsia="zh-CN"/>
        </w:rPr>
        <w:t>氢氧化钙生产线扩建项目</w:t>
      </w:r>
      <w:r>
        <w:rPr>
          <w:rFonts w:ascii="Times New Roman" w:hAnsi="Times New Roman" w:eastAsia="楷体_GB2312" w:cs="Times New Roman"/>
          <w:sz w:val="24"/>
          <w:szCs w:val="24"/>
        </w:rPr>
        <w:t>生产区</w:t>
      </w:r>
      <w:r>
        <w:rPr>
          <w:rFonts w:hint="eastAsia" w:ascii="Times New Roman" w:hAnsi="Times New Roman" w:eastAsia="楷体_GB2312" w:cs="Times New Roman"/>
          <w:sz w:val="24"/>
          <w:szCs w:val="24"/>
        </w:rPr>
        <w:t>及其</w:t>
      </w:r>
      <w:r>
        <w:rPr>
          <w:rFonts w:ascii="Times New Roman" w:hAnsi="Times New Roman" w:eastAsia="楷体_GB2312" w:cs="Times New Roman"/>
          <w:sz w:val="24"/>
          <w:szCs w:val="24"/>
        </w:rPr>
        <w:t>各项环保设施</w:t>
      </w:r>
      <w:r>
        <w:rPr>
          <w:rFonts w:hint="eastAsia" w:ascii="Times New Roman" w:hAnsi="Times New Roman" w:eastAsia="楷体_GB2312" w:cs="Times New Roman"/>
          <w:sz w:val="24"/>
          <w:szCs w:val="24"/>
        </w:rPr>
        <w:t>与环评内容一致。项目变动情况见下表。</w:t>
      </w:r>
    </w:p>
    <w:p w14:paraId="3B7CBE2D">
      <w:pPr>
        <w:spacing w:line="360" w:lineRule="auto"/>
        <w:jc w:val="center"/>
        <w:rPr>
          <w:rFonts w:ascii="Times New Roman" w:hAnsi="Times New Roman" w:eastAsia="楷体_GB2312" w:cs="Times New Roman"/>
          <w:sz w:val="24"/>
          <w:szCs w:val="24"/>
        </w:rPr>
      </w:pPr>
      <w:r>
        <w:rPr>
          <w:rFonts w:hint="eastAsia" w:ascii="Times New Roman" w:hAnsi="Times New Roman" w:eastAsia="楷体_GB2312" w:cs="Times New Roman"/>
          <w:sz w:val="24"/>
          <w:szCs w:val="24"/>
        </w:rPr>
        <w:t>表1</w:t>
      </w:r>
      <w:r>
        <w:rPr>
          <w:rFonts w:ascii="Times New Roman" w:hAnsi="Times New Roman" w:eastAsia="楷体_GB2312" w:cs="Times New Roman"/>
          <w:sz w:val="24"/>
          <w:szCs w:val="24"/>
        </w:rPr>
        <w:t xml:space="preserve">  </w:t>
      </w:r>
      <w:r>
        <w:rPr>
          <w:rFonts w:hint="eastAsia" w:ascii="Times New Roman" w:hAnsi="Times New Roman" w:eastAsia="楷体_GB2312" w:cs="Times New Roman"/>
          <w:sz w:val="24"/>
          <w:szCs w:val="24"/>
        </w:rPr>
        <w:t>项目变动情况一览表</w:t>
      </w:r>
    </w:p>
    <w:tbl>
      <w:tblPr>
        <w:tblStyle w:val="13"/>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426"/>
        <w:gridCol w:w="618"/>
        <w:gridCol w:w="1675"/>
        <w:gridCol w:w="1245"/>
        <w:gridCol w:w="1359"/>
        <w:gridCol w:w="1296"/>
        <w:gridCol w:w="950"/>
        <w:gridCol w:w="950"/>
      </w:tblGrid>
      <w:tr w14:paraId="2BF495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5" w:hRule="atLeast"/>
          <w:jc w:val="center"/>
        </w:trPr>
        <w:tc>
          <w:tcPr>
            <w:tcW w:w="601" w:type="pct"/>
            <w:gridSpan w:val="2"/>
            <w:tcBorders>
              <w:bottom w:val="single" w:color="auto" w:sz="4" w:space="0"/>
            </w:tcBorders>
            <w:vAlign w:val="center"/>
          </w:tcPr>
          <w:p w14:paraId="443F839C">
            <w:pPr>
              <w:wordWrap w:val="0"/>
              <w:adjustRightInd w:val="0"/>
              <w:snapToGrid w:val="0"/>
              <w:jc w:val="center"/>
              <w:rPr>
                <w:rFonts w:eastAsia="宋体"/>
                <w:snapToGrid w:val="0"/>
                <w:color w:val="auto"/>
                <w:szCs w:val="21"/>
              </w:rPr>
            </w:pPr>
            <w:r>
              <w:rPr>
                <w:rFonts w:eastAsia="宋体"/>
                <w:snapToGrid w:val="0"/>
                <w:color w:val="auto"/>
                <w:szCs w:val="21"/>
              </w:rPr>
              <w:t>项目</w:t>
            </w:r>
          </w:p>
        </w:tc>
        <w:tc>
          <w:tcPr>
            <w:tcW w:w="1717" w:type="pct"/>
            <w:gridSpan w:val="2"/>
            <w:vAlign w:val="center"/>
          </w:tcPr>
          <w:p w14:paraId="5AF142F9">
            <w:pPr>
              <w:wordWrap w:val="0"/>
              <w:adjustRightInd w:val="0"/>
              <w:snapToGrid w:val="0"/>
              <w:jc w:val="center"/>
              <w:rPr>
                <w:rFonts w:eastAsia="宋体"/>
                <w:snapToGrid w:val="0"/>
                <w:color w:val="auto"/>
                <w:szCs w:val="21"/>
              </w:rPr>
            </w:pPr>
            <w:r>
              <w:rPr>
                <w:rFonts w:eastAsia="宋体"/>
                <w:snapToGrid w:val="0"/>
                <w:color w:val="auto"/>
                <w:szCs w:val="21"/>
              </w:rPr>
              <w:t>原项目</w:t>
            </w:r>
          </w:p>
        </w:tc>
        <w:tc>
          <w:tcPr>
            <w:tcW w:w="1561" w:type="pct"/>
            <w:gridSpan w:val="2"/>
            <w:tcBorders>
              <w:right w:val="single" w:color="auto" w:sz="4" w:space="0"/>
            </w:tcBorders>
            <w:vAlign w:val="center"/>
          </w:tcPr>
          <w:p w14:paraId="4D8E4CC0">
            <w:pPr>
              <w:wordWrap w:val="0"/>
              <w:adjustRightInd w:val="0"/>
              <w:snapToGrid w:val="0"/>
              <w:jc w:val="center"/>
              <w:rPr>
                <w:rFonts w:eastAsia="宋体"/>
                <w:snapToGrid w:val="0"/>
                <w:color w:val="auto"/>
                <w:szCs w:val="21"/>
              </w:rPr>
            </w:pPr>
            <w:r>
              <w:rPr>
                <w:rFonts w:eastAsia="宋体"/>
                <w:snapToGrid w:val="0"/>
                <w:color w:val="auto"/>
                <w:szCs w:val="21"/>
              </w:rPr>
              <w:t>技改后</w:t>
            </w:r>
          </w:p>
        </w:tc>
        <w:tc>
          <w:tcPr>
            <w:tcW w:w="559" w:type="pct"/>
            <w:tcBorders>
              <w:left w:val="single" w:color="auto" w:sz="4" w:space="0"/>
            </w:tcBorders>
            <w:vAlign w:val="center"/>
          </w:tcPr>
          <w:p w14:paraId="122F5974">
            <w:pPr>
              <w:wordWrap w:val="0"/>
              <w:adjustRightInd w:val="0"/>
              <w:snapToGrid w:val="0"/>
              <w:jc w:val="center"/>
              <w:rPr>
                <w:rFonts w:eastAsia="宋体"/>
                <w:snapToGrid w:val="0"/>
                <w:color w:val="auto"/>
                <w:szCs w:val="21"/>
              </w:rPr>
            </w:pPr>
            <w:r>
              <w:rPr>
                <w:rFonts w:eastAsia="宋体"/>
                <w:snapToGrid w:val="0"/>
                <w:color w:val="auto"/>
                <w:szCs w:val="21"/>
              </w:rPr>
              <w:t>变化情况</w:t>
            </w:r>
          </w:p>
        </w:tc>
        <w:tc>
          <w:tcPr>
            <w:tcW w:w="559" w:type="pct"/>
            <w:tcBorders>
              <w:left w:val="single" w:color="auto" w:sz="4" w:space="0"/>
            </w:tcBorders>
            <w:vAlign w:val="center"/>
          </w:tcPr>
          <w:p w14:paraId="0DD6BBF8">
            <w:pPr>
              <w:wordWrap w:val="0"/>
              <w:adjustRightInd w:val="0"/>
              <w:snapToGrid w:val="0"/>
              <w:jc w:val="center"/>
              <w:rPr>
                <w:rFonts w:hint="default" w:eastAsia="宋体"/>
                <w:snapToGrid w:val="0"/>
                <w:color w:val="auto"/>
                <w:szCs w:val="21"/>
                <w:lang w:val="en-US" w:eastAsia="zh-CN"/>
              </w:rPr>
            </w:pPr>
            <w:r>
              <w:rPr>
                <w:rFonts w:hint="eastAsia" w:eastAsia="宋体"/>
                <w:snapToGrid w:val="0"/>
                <w:color w:val="auto"/>
                <w:szCs w:val="21"/>
                <w:lang w:val="en-US" w:eastAsia="zh-CN"/>
              </w:rPr>
              <w:t>与环评变动情况</w:t>
            </w:r>
          </w:p>
        </w:tc>
      </w:tr>
      <w:tr w14:paraId="1431EF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Align w:val="center"/>
          </w:tcPr>
          <w:p w14:paraId="1834FDEF">
            <w:pPr>
              <w:wordWrap w:val="0"/>
              <w:adjustRightInd w:val="0"/>
              <w:snapToGrid w:val="0"/>
              <w:jc w:val="center"/>
              <w:rPr>
                <w:rFonts w:eastAsia="宋体"/>
                <w:snapToGrid w:val="0"/>
                <w:color w:val="auto"/>
                <w:szCs w:val="21"/>
              </w:rPr>
            </w:pPr>
            <w:r>
              <w:rPr>
                <w:rFonts w:eastAsia="宋体"/>
                <w:snapToGrid w:val="0"/>
                <w:color w:val="auto"/>
                <w:szCs w:val="21"/>
              </w:rPr>
              <w:t>生产规模及产品方案</w:t>
            </w:r>
          </w:p>
        </w:tc>
        <w:tc>
          <w:tcPr>
            <w:tcW w:w="1717" w:type="pct"/>
            <w:gridSpan w:val="2"/>
            <w:vAlign w:val="center"/>
          </w:tcPr>
          <w:p w14:paraId="01314BAF">
            <w:pPr>
              <w:wordWrap w:val="0"/>
              <w:adjustRightInd w:val="0"/>
              <w:snapToGrid w:val="0"/>
              <w:jc w:val="center"/>
              <w:rPr>
                <w:rFonts w:eastAsia="宋体"/>
                <w:snapToGrid w:val="0"/>
                <w:color w:val="auto"/>
                <w:szCs w:val="21"/>
              </w:rPr>
            </w:pPr>
            <w:r>
              <w:rPr>
                <w:rFonts w:eastAsia="宋体"/>
                <w:snapToGrid w:val="0"/>
                <w:color w:val="auto"/>
                <w:szCs w:val="21"/>
              </w:rPr>
              <w:t>年产2万吨氧化钙</w:t>
            </w:r>
          </w:p>
        </w:tc>
        <w:tc>
          <w:tcPr>
            <w:tcW w:w="1561" w:type="pct"/>
            <w:gridSpan w:val="2"/>
            <w:tcBorders>
              <w:right w:val="single" w:color="auto" w:sz="4" w:space="0"/>
            </w:tcBorders>
            <w:vAlign w:val="center"/>
          </w:tcPr>
          <w:p w14:paraId="4F4FE275">
            <w:pPr>
              <w:wordWrap w:val="0"/>
              <w:adjustRightInd w:val="0"/>
              <w:snapToGrid w:val="0"/>
              <w:jc w:val="center"/>
              <w:rPr>
                <w:rFonts w:eastAsia="宋体"/>
                <w:snapToGrid w:val="0"/>
                <w:color w:val="auto"/>
                <w:szCs w:val="21"/>
              </w:rPr>
            </w:pPr>
            <w:r>
              <w:rPr>
                <w:rFonts w:eastAsia="宋体"/>
                <w:snapToGrid w:val="0"/>
                <w:color w:val="auto"/>
                <w:szCs w:val="21"/>
              </w:rPr>
              <w:t>年产2.5万t氢氧化钙</w:t>
            </w:r>
          </w:p>
        </w:tc>
        <w:tc>
          <w:tcPr>
            <w:tcW w:w="559" w:type="pct"/>
            <w:tcBorders>
              <w:left w:val="single" w:color="auto" w:sz="4" w:space="0"/>
            </w:tcBorders>
            <w:vAlign w:val="center"/>
          </w:tcPr>
          <w:p w14:paraId="2610CE74">
            <w:pPr>
              <w:wordWrap w:val="0"/>
              <w:adjustRightInd w:val="0"/>
              <w:snapToGrid w:val="0"/>
              <w:jc w:val="center"/>
              <w:rPr>
                <w:rFonts w:eastAsia="宋体"/>
                <w:snapToGrid w:val="0"/>
                <w:color w:val="auto"/>
                <w:szCs w:val="21"/>
              </w:rPr>
            </w:pPr>
            <w:r>
              <w:rPr>
                <w:rFonts w:eastAsia="宋体"/>
                <w:snapToGrid w:val="0"/>
                <w:color w:val="auto"/>
                <w:szCs w:val="21"/>
              </w:rPr>
              <w:t>增加且产品变化</w:t>
            </w:r>
          </w:p>
        </w:tc>
        <w:tc>
          <w:tcPr>
            <w:tcW w:w="559" w:type="pct"/>
            <w:tcBorders>
              <w:left w:val="single" w:color="auto" w:sz="4" w:space="0"/>
            </w:tcBorders>
            <w:vAlign w:val="center"/>
          </w:tcPr>
          <w:p w14:paraId="3CFC3C38">
            <w:pPr>
              <w:wordWrap w:val="0"/>
              <w:adjustRightInd w:val="0"/>
              <w:snapToGrid w:val="0"/>
              <w:jc w:val="center"/>
              <w:rPr>
                <w:rFonts w:hint="eastAsia" w:eastAsia="宋体"/>
                <w:snapToGrid w:val="0"/>
                <w:color w:val="auto"/>
                <w:szCs w:val="21"/>
                <w:lang w:val="en-US" w:eastAsia="zh-CN"/>
              </w:rPr>
            </w:pPr>
            <w:r>
              <w:rPr>
                <w:rFonts w:hint="eastAsia" w:eastAsia="宋体"/>
                <w:snapToGrid w:val="0"/>
                <w:color w:val="auto"/>
                <w:szCs w:val="21"/>
                <w:lang w:val="en-US" w:eastAsia="zh-CN"/>
              </w:rPr>
              <w:t>无变动</w:t>
            </w:r>
          </w:p>
        </w:tc>
      </w:tr>
      <w:tr w14:paraId="23BEF4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Merge w:val="restart"/>
            <w:vAlign w:val="center"/>
          </w:tcPr>
          <w:p w14:paraId="2383A47F">
            <w:pPr>
              <w:wordWrap w:val="0"/>
              <w:adjustRightInd w:val="0"/>
              <w:snapToGrid w:val="0"/>
              <w:jc w:val="center"/>
              <w:rPr>
                <w:rFonts w:eastAsia="宋体"/>
                <w:snapToGrid w:val="0"/>
                <w:color w:val="auto"/>
                <w:szCs w:val="21"/>
              </w:rPr>
            </w:pPr>
            <w:r>
              <w:rPr>
                <w:rFonts w:eastAsia="宋体"/>
                <w:snapToGrid w:val="0"/>
                <w:color w:val="auto"/>
                <w:szCs w:val="21"/>
              </w:rPr>
              <w:t>主要建设内容</w:t>
            </w:r>
          </w:p>
        </w:tc>
        <w:tc>
          <w:tcPr>
            <w:tcW w:w="1717" w:type="pct"/>
            <w:gridSpan w:val="2"/>
            <w:vAlign w:val="center"/>
          </w:tcPr>
          <w:p w14:paraId="4FB112AD">
            <w:pPr>
              <w:wordWrap w:val="0"/>
              <w:adjustRightInd w:val="0"/>
              <w:snapToGrid w:val="0"/>
              <w:jc w:val="center"/>
              <w:rPr>
                <w:rFonts w:eastAsia="宋体"/>
                <w:snapToGrid w:val="0"/>
                <w:color w:val="auto"/>
                <w:szCs w:val="21"/>
              </w:rPr>
            </w:pPr>
            <w:r>
              <w:rPr>
                <w:rFonts w:eastAsia="宋体"/>
                <w:snapToGrid w:val="0"/>
                <w:color w:val="auto"/>
                <w:szCs w:val="21"/>
              </w:rPr>
              <w:t>建设有2座Ф5.5×16.5m石灰窑，高径比3：1，吨石灰耗煤量100kg。包括煅烧系统、成品输送、成品分选系统等。</w:t>
            </w:r>
          </w:p>
        </w:tc>
        <w:tc>
          <w:tcPr>
            <w:tcW w:w="1561" w:type="pct"/>
            <w:gridSpan w:val="2"/>
            <w:tcBorders>
              <w:right w:val="single" w:color="auto" w:sz="4" w:space="0"/>
            </w:tcBorders>
            <w:vAlign w:val="center"/>
          </w:tcPr>
          <w:p w14:paraId="25CF4CC6">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429BDA7D">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28F279F8">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02A710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Merge w:val="continue"/>
            <w:vAlign w:val="center"/>
          </w:tcPr>
          <w:p w14:paraId="2C4C4997">
            <w:pPr>
              <w:wordWrap w:val="0"/>
              <w:adjustRightInd w:val="0"/>
              <w:snapToGrid w:val="0"/>
              <w:jc w:val="center"/>
              <w:rPr>
                <w:rFonts w:eastAsia="宋体"/>
                <w:snapToGrid w:val="0"/>
                <w:color w:val="auto"/>
                <w:szCs w:val="21"/>
              </w:rPr>
            </w:pPr>
          </w:p>
        </w:tc>
        <w:tc>
          <w:tcPr>
            <w:tcW w:w="1717" w:type="pct"/>
            <w:gridSpan w:val="2"/>
            <w:vAlign w:val="center"/>
          </w:tcPr>
          <w:p w14:paraId="1B5C547C">
            <w:pPr>
              <w:wordWrap w:val="0"/>
              <w:adjustRightInd w:val="0"/>
              <w:snapToGrid w:val="0"/>
              <w:jc w:val="center"/>
              <w:rPr>
                <w:rFonts w:eastAsia="宋体"/>
                <w:snapToGrid w:val="0"/>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2AFB76FB">
            <w:pPr>
              <w:wordWrap w:val="0"/>
              <w:adjustRightInd w:val="0"/>
              <w:snapToGrid w:val="0"/>
              <w:jc w:val="left"/>
              <w:rPr>
                <w:rFonts w:eastAsia="宋体"/>
                <w:snapToGrid w:val="0"/>
                <w:color w:val="auto"/>
                <w:szCs w:val="21"/>
              </w:rPr>
            </w:pPr>
            <w:r>
              <w:rPr>
                <w:rFonts w:eastAsia="宋体"/>
                <w:snapToGrid w:val="0"/>
                <w:color w:val="auto"/>
                <w:szCs w:val="21"/>
              </w:rPr>
              <w:t>场地北侧面积约660m</w:t>
            </w:r>
            <w:r>
              <w:rPr>
                <w:rFonts w:eastAsia="宋体"/>
                <w:snapToGrid w:val="0"/>
                <w:color w:val="auto"/>
                <w:szCs w:val="21"/>
                <w:vertAlign w:val="superscript"/>
              </w:rPr>
              <w:t>2</w:t>
            </w:r>
            <w:r>
              <w:rPr>
                <w:rFonts w:eastAsia="宋体"/>
                <w:snapToGrid w:val="0"/>
                <w:color w:val="auto"/>
                <w:szCs w:val="21"/>
              </w:rPr>
              <w:t>，布置氢氧化钙线生产线1条，安装原料仓1座，消化机1台、中转仓1座、成品仓4座、分选机1台、选磨一体机1台、螺旋输送机5台、提升机5台等设备。</w:t>
            </w:r>
          </w:p>
        </w:tc>
        <w:tc>
          <w:tcPr>
            <w:tcW w:w="559" w:type="pct"/>
            <w:tcBorders>
              <w:left w:val="single" w:color="auto" w:sz="4" w:space="0"/>
            </w:tcBorders>
            <w:vAlign w:val="center"/>
          </w:tcPr>
          <w:p w14:paraId="5EA8CDCB">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08CF9046">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369AAE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Merge w:val="continue"/>
            <w:vAlign w:val="center"/>
          </w:tcPr>
          <w:p w14:paraId="0E4B0988">
            <w:pPr>
              <w:wordWrap w:val="0"/>
              <w:adjustRightInd w:val="0"/>
              <w:snapToGrid w:val="0"/>
              <w:jc w:val="center"/>
              <w:rPr>
                <w:rFonts w:eastAsia="宋体"/>
                <w:snapToGrid w:val="0"/>
                <w:color w:val="auto"/>
                <w:szCs w:val="21"/>
              </w:rPr>
            </w:pPr>
          </w:p>
        </w:tc>
        <w:tc>
          <w:tcPr>
            <w:tcW w:w="1717" w:type="pct"/>
            <w:gridSpan w:val="2"/>
            <w:vAlign w:val="center"/>
          </w:tcPr>
          <w:p w14:paraId="125D823C">
            <w:pPr>
              <w:adjustRightInd w:val="0"/>
              <w:snapToGrid w:val="0"/>
              <w:jc w:val="center"/>
              <w:rPr>
                <w:rFonts w:eastAsia="宋体"/>
                <w:snapToGrid w:val="0"/>
                <w:color w:val="auto"/>
                <w:szCs w:val="21"/>
              </w:rPr>
            </w:pPr>
            <w:r>
              <w:rPr>
                <w:rFonts w:eastAsia="宋体"/>
                <w:color w:val="auto"/>
              </w:rPr>
              <w:t>石灰石堆场，占地面积为200m</w:t>
            </w:r>
            <w:r>
              <w:rPr>
                <w:rFonts w:eastAsia="宋体"/>
                <w:color w:val="auto"/>
                <w:vertAlign w:val="superscript"/>
              </w:rPr>
              <w:t>2</w:t>
            </w:r>
            <w:r>
              <w:rPr>
                <w:rFonts w:eastAsia="宋体"/>
                <w:color w:val="auto"/>
              </w:rPr>
              <w:t>，带顶棚</w:t>
            </w:r>
          </w:p>
        </w:tc>
        <w:tc>
          <w:tcPr>
            <w:tcW w:w="1561" w:type="pct"/>
            <w:gridSpan w:val="2"/>
            <w:tcBorders>
              <w:right w:val="single" w:color="auto" w:sz="4" w:space="0"/>
            </w:tcBorders>
            <w:vAlign w:val="center"/>
          </w:tcPr>
          <w:p w14:paraId="53AD59B9">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2DA59DC9">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68D2840B">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25D3C2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Merge w:val="continue"/>
            <w:vAlign w:val="center"/>
          </w:tcPr>
          <w:p w14:paraId="37E4EE2F">
            <w:pPr>
              <w:wordWrap w:val="0"/>
              <w:adjustRightInd w:val="0"/>
              <w:snapToGrid w:val="0"/>
              <w:jc w:val="center"/>
              <w:rPr>
                <w:rFonts w:eastAsia="宋体"/>
                <w:snapToGrid w:val="0"/>
                <w:color w:val="auto"/>
                <w:szCs w:val="21"/>
              </w:rPr>
            </w:pPr>
          </w:p>
        </w:tc>
        <w:tc>
          <w:tcPr>
            <w:tcW w:w="1717" w:type="pct"/>
            <w:gridSpan w:val="2"/>
            <w:vAlign w:val="center"/>
          </w:tcPr>
          <w:p w14:paraId="05518961">
            <w:pPr>
              <w:adjustRightInd w:val="0"/>
              <w:snapToGrid w:val="0"/>
              <w:jc w:val="center"/>
              <w:rPr>
                <w:rFonts w:eastAsia="宋体"/>
                <w:snapToGrid w:val="0"/>
                <w:color w:val="auto"/>
                <w:szCs w:val="21"/>
              </w:rPr>
            </w:pPr>
            <w:r>
              <w:rPr>
                <w:rFonts w:eastAsia="宋体"/>
                <w:color w:val="auto"/>
              </w:rPr>
              <w:t>无烟煤堆场，占地面积为200m</w:t>
            </w:r>
            <w:r>
              <w:rPr>
                <w:rFonts w:eastAsia="宋体"/>
                <w:color w:val="auto"/>
                <w:vertAlign w:val="superscript"/>
              </w:rPr>
              <w:t>2</w:t>
            </w:r>
            <w:r>
              <w:rPr>
                <w:rFonts w:eastAsia="宋体"/>
                <w:color w:val="auto"/>
              </w:rPr>
              <w:t>，带顶棚</w:t>
            </w:r>
          </w:p>
        </w:tc>
        <w:tc>
          <w:tcPr>
            <w:tcW w:w="1561" w:type="pct"/>
            <w:gridSpan w:val="2"/>
            <w:tcBorders>
              <w:right w:val="single" w:color="auto" w:sz="4" w:space="0"/>
            </w:tcBorders>
            <w:vAlign w:val="center"/>
          </w:tcPr>
          <w:p w14:paraId="48E781B9">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4D473417">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2EB4CE7C">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56602B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Merge w:val="continue"/>
            <w:vAlign w:val="center"/>
          </w:tcPr>
          <w:p w14:paraId="362B6A3B">
            <w:pPr>
              <w:wordWrap w:val="0"/>
              <w:adjustRightInd w:val="0"/>
              <w:snapToGrid w:val="0"/>
              <w:jc w:val="center"/>
              <w:rPr>
                <w:rFonts w:eastAsia="宋体"/>
                <w:snapToGrid w:val="0"/>
                <w:color w:val="auto"/>
                <w:szCs w:val="21"/>
              </w:rPr>
            </w:pPr>
          </w:p>
        </w:tc>
        <w:tc>
          <w:tcPr>
            <w:tcW w:w="1717" w:type="pct"/>
            <w:gridSpan w:val="2"/>
            <w:vAlign w:val="center"/>
          </w:tcPr>
          <w:p w14:paraId="61FE34A6">
            <w:pPr>
              <w:adjustRightInd w:val="0"/>
              <w:snapToGrid w:val="0"/>
              <w:jc w:val="center"/>
              <w:rPr>
                <w:rFonts w:eastAsia="宋体"/>
                <w:snapToGrid w:val="0"/>
                <w:color w:val="auto"/>
                <w:szCs w:val="21"/>
              </w:rPr>
            </w:pPr>
            <w:r>
              <w:rPr>
                <w:rFonts w:eastAsia="宋体"/>
                <w:color w:val="auto"/>
              </w:rPr>
              <w:t>密闭石灰库，占地面积300m</w:t>
            </w:r>
            <w:r>
              <w:rPr>
                <w:rFonts w:eastAsia="宋体"/>
                <w:color w:val="auto"/>
                <w:vertAlign w:val="superscript"/>
              </w:rPr>
              <w:t>2</w:t>
            </w:r>
          </w:p>
        </w:tc>
        <w:tc>
          <w:tcPr>
            <w:tcW w:w="1561" w:type="pct"/>
            <w:gridSpan w:val="2"/>
            <w:tcBorders>
              <w:right w:val="single" w:color="auto" w:sz="4" w:space="0"/>
            </w:tcBorders>
            <w:vAlign w:val="center"/>
          </w:tcPr>
          <w:p w14:paraId="3EB5B9C5">
            <w:pPr>
              <w:wordWrap w:val="0"/>
              <w:adjustRightInd w:val="0"/>
              <w:snapToGrid w:val="0"/>
              <w:jc w:val="left"/>
              <w:rPr>
                <w:rFonts w:eastAsia="宋体"/>
                <w:snapToGrid w:val="0"/>
                <w:color w:val="auto"/>
                <w:szCs w:val="21"/>
              </w:rPr>
            </w:pPr>
            <w:r>
              <w:rPr>
                <w:rFonts w:eastAsia="宋体"/>
                <w:snapToGrid w:val="0"/>
                <w:color w:val="auto"/>
                <w:szCs w:val="21"/>
              </w:rPr>
              <w:t>作为成品氢氧化钙成品仓安置处</w:t>
            </w:r>
          </w:p>
        </w:tc>
        <w:tc>
          <w:tcPr>
            <w:tcW w:w="559" w:type="pct"/>
            <w:tcBorders>
              <w:left w:val="single" w:color="auto" w:sz="4" w:space="0"/>
            </w:tcBorders>
            <w:vAlign w:val="center"/>
          </w:tcPr>
          <w:p w14:paraId="11EB76D9">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221D8870">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6413AE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Align w:val="center"/>
          </w:tcPr>
          <w:p w14:paraId="6505136A">
            <w:pPr>
              <w:adjustRightInd w:val="0"/>
              <w:snapToGrid w:val="0"/>
              <w:jc w:val="center"/>
              <w:rPr>
                <w:rFonts w:eastAsia="宋体"/>
                <w:snapToGrid w:val="0"/>
                <w:color w:val="auto"/>
                <w:szCs w:val="21"/>
              </w:rPr>
            </w:pPr>
            <w:r>
              <w:rPr>
                <w:rFonts w:eastAsia="宋体"/>
                <w:color w:val="auto"/>
                <w:szCs w:val="21"/>
              </w:rPr>
              <w:t>办公区</w:t>
            </w:r>
          </w:p>
        </w:tc>
        <w:tc>
          <w:tcPr>
            <w:tcW w:w="1717" w:type="pct"/>
            <w:gridSpan w:val="2"/>
            <w:vAlign w:val="center"/>
          </w:tcPr>
          <w:p w14:paraId="7CC045CE">
            <w:pPr>
              <w:adjustRightInd w:val="0"/>
              <w:snapToGrid w:val="0"/>
              <w:jc w:val="center"/>
              <w:rPr>
                <w:rFonts w:eastAsia="宋体"/>
                <w:snapToGrid w:val="0"/>
                <w:color w:val="auto"/>
                <w:szCs w:val="21"/>
              </w:rPr>
            </w:pPr>
            <w:r>
              <w:rPr>
                <w:rFonts w:eastAsia="宋体"/>
                <w:color w:val="auto"/>
                <w:szCs w:val="21"/>
              </w:rPr>
              <w:t>租赁江南矿业3间办公室24m</w:t>
            </w:r>
            <w:r>
              <w:rPr>
                <w:rFonts w:eastAsia="宋体"/>
                <w:color w:val="auto"/>
                <w:szCs w:val="21"/>
                <w:vertAlign w:val="superscript"/>
              </w:rPr>
              <w:t>2</w:t>
            </w:r>
          </w:p>
        </w:tc>
        <w:tc>
          <w:tcPr>
            <w:tcW w:w="1561" w:type="pct"/>
            <w:gridSpan w:val="2"/>
            <w:tcBorders>
              <w:right w:val="single" w:color="auto" w:sz="4" w:space="0"/>
            </w:tcBorders>
            <w:vAlign w:val="center"/>
          </w:tcPr>
          <w:p w14:paraId="6BE2D880">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6FAD2D07">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7B49A4CA">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368060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Align w:val="center"/>
          </w:tcPr>
          <w:p w14:paraId="4347D9BF">
            <w:pPr>
              <w:adjustRightInd w:val="0"/>
              <w:snapToGrid w:val="0"/>
              <w:jc w:val="center"/>
              <w:rPr>
                <w:rFonts w:eastAsia="宋体"/>
                <w:snapToGrid w:val="0"/>
                <w:color w:val="auto"/>
                <w:szCs w:val="21"/>
              </w:rPr>
            </w:pPr>
            <w:r>
              <w:rPr>
                <w:rFonts w:eastAsia="宋体"/>
                <w:color w:val="auto"/>
                <w:szCs w:val="21"/>
              </w:rPr>
              <w:t>食堂</w:t>
            </w:r>
          </w:p>
        </w:tc>
        <w:tc>
          <w:tcPr>
            <w:tcW w:w="1717" w:type="pct"/>
            <w:gridSpan w:val="2"/>
            <w:vAlign w:val="center"/>
          </w:tcPr>
          <w:p w14:paraId="5EC7933E">
            <w:pPr>
              <w:adjustRightInd w:val="0"/>
              <w:snapToGrid w:val="0"/>
              <w:jc w:val="center"/>
              <w:rPr>
                <w:rFonts w:eastAsia="宋体"/>
                <w:snapToGrid w:val="0"/>
                <w:color w:val="auto"/>
                <w:szCs w:val="21"/>
              </w:rPr>
            </w:pPr>
            <w:r>
              <w:rPr>
                <w:rFonts w:eastAsia="宋体"/>
                <w:color w:val="auto"/>
                <w:szCs w:val="21"/>
              </w:rPr>
              <w:t>设有食堂1座，位于办公区北侧</w:t>
            </w:r>
          </w:p>
        </w:tc>
        <w:tc>
          <w:tcPr>
            <w:tcW w:w="1561" w:type="pct"/>
            <w:gridSpan w:val="2"/>
            <w:tcBorders>
              <w:right w:val="single" w:color="auto" w:sz="4" w:space="0"/>
            </w:tcBorders>
            <w:vAlign w:val="center"/>
          </w:tcPr>
          <w:p w14:paraId="28DDD238">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4D27C97A">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50159E11">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0B494C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Align w:val="center"/>
          </w:tcPr>
          <w:p w14:paraId="1B1E83B7">
            <w:pPr>
              <w:adjustRightInd w:val="0"/>
              <w:snapToGrid w:val="0"/>
              <w:jc w:val="center"/>
              <w:rPr>
                <w:rFonts w:eastAsia="宋体"/>
                <w:snapToGrid w:val="0"/>
                <w:color w:val="auto"/>
                <w:szCs w:val="21"/>
              </w:rPr>
            </w:pPr>
            <w:r>
              <w:rPr>
                <w:rFonts w:eastAsia="宋体"/>
                <w:color w:val="auto"/>
                <w:szCs w:val="21"/>
              </w:rPr>
              <w:t>供电</w:t>
            </w:r>
          </w:p>
        </w:tc>
        <w:tc>
          <w:tcPr>
            <w:tcW w:w="1717" w:type="pct"/>
            <w:gridSpan w:val="2"/>
            <w:vAlign w:val="center"/>
          </w:tcPr>
          <w:p w14:paraId="2A97DD0D">
            <w:pPr>
              <w:adjustRightInd w:val="0"/>
              <w:snapToGrid w:val="0"/>
              <w:jc w:val="center"/>
              <w:rPr>
                <w:rFonts w:eastAsia="宋体"/>
                <w:snapToGrid w:val="0"/>
                <w:color w:val="auto"/>
                <w:szCs w:val="21"/>
              </w:rPr>
            </w:pPr>
            <w:r>
              <w:rPr>
                <w:rFonts w:eastAsia="宋体"/>
                <w:color w:val="auto"/>
                <w:szCs w:val="21"/>
              </w:rPr>
              <w:t>来自厂区外部引一路250kv电源供电给厂区高压变电所</w:t>
            </w:r>
          </w:p>
        </w:tc>
        <w:tc>
          <w:tcPr>
            <w:tcW w:w="1561" w:type="pct"/>
            <w:gridSpan w:val="2"/>
            <w:tcBorders>
              <w:right w:val="single" w:color="auto" w:sz="4" w:space="0"/>
            </w:tcBorders>
            <w:vAlign w:val="center"/>
          </w:tcPr>
          <w:p w14:paraId="270B349C">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214BDC92">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395AF8E9">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421495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Align w:val="center"/>
          </w:tcPr>
          <w:p w14:paraId="3B82A2FF">
            <w:pPr>
              <w:adjustRightInd w:val="0"/>
              <w:snapToGrid w:val="0"/>
              <w:jc w:val="center"/>
              <w:rPr>
                <w:rFonts w:eastAsia="宋体"/>
                <w:snapToGrid w:val="0"/>
                <w:color w:val="auto"/>
                <w:szCs w:val="21"/>
              </w:rPr>
            </w:pPr>
            <w:r>
              <w:rPr>
                <w:rFonts w:eastAsia="宋体"/>
                <w:color w:val="auto"/>
                <w:szCs w:val="21"/>
              </w:rPr>
              <w:t>供水</w:t>
            </w:r>
          </w:p>
        </w:tc>
        <w:tc>
          <w:tcPr>
            <w:tcW w:w="1717" w:type="pct"/>
            <w:gridSpan w:val="2"/>
            <w:vAlign w:val="center"/>
          </w:tcPr>
          <w:p w14:paraId="64B1F534">
            <w:pPr>
              <w:adjustRightInd w:val="0"/>
              <w:snapToGrid w:val="0"/>
              <w:jc w:val="center"/>
              <w:rPr>
                <w:rFonts w:eastAsia="宋体"/>
                <w:snapToGrid w:val="0"/>
                <w:color w:val="auto"/>
                <w:szCs w:val="21"/>
              </w:rPr>
            </w:pPr>
            <w:r>
              <w:rPr>
                <w:rFonts w:eastAsia="宋体"/>
                <w:color w:val="auto"/>
                <w:szCs w:val="21"/>
              </w:rPr>
              <w:t>生产用水来自山泉水，修建有集水池1座（4m×3m×3m）；生活用水来自于市政供水。</w:t>
            </w:r>
          </w:p>
        </w:tc>
        <w:tc>
          <w:tcPr>
            <w:tcW w:w="1561" w:type="pct"/>
            <w:gridSpan w:val="2"/>
            <w:tcBorders>
              <w:right w:val="single" w:color="auto" w:sz="4" w:space="0"/>
            </w:tcBorders>
            <w:vAlign w:val="center"/>
          </w:tcPr>
          <w:p w14:paraId="1BA94899">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4267D304">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2804E3F8">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3712EC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Align w:val="center"/>
          </w:tcPr>
          <w:p w14:paraId="379CCB94">
            <w:pPr>
              <w:adjustRightInd w:val="0"/>
              <w:snapToGrid w:val="0"/>
              <w:jc w:val="center"/>
              <w:rPr>
                <w:rFonts w:eastAsia="宋体"/>
                <w:snapToGrid w:val="0"/>
                <w:color w:val="auto"/>
                <w:szCs w:val="21"/>
              </w:rPr>
            </w:pPr>
            <w:r>
              <w:rPr>
                <w:rFonts w:eastAsia="宋体"/>
                <w:color w:val="auto"/>
                <w:szCs w:val="21"/>
              </w:rPr>
              <w:t>排水</w:t>
            </w:r>
          </w:p>
        </w:tc>
        <w:tc>
          <w:tcPr>
            <w:tcW w:w="1717" w:type="pct"/>
            <w:gridSpan w:val="2"/>
            <w:vAlign w:val="center"/>
          </w:tcPr>
          <w:p w14:paraId="0886D27C">
            <w:pPr>
              <w:adjustRightInd w:val="0"/>
              <w:snapToGrid w:val="0"/>
              <w:jc w:val="center"/>
              <w:rPr>
                <w:rFonts w:eastAsia="宋体"/>
                <w:snapToGrid w:val="0"/>
                <w:color w:val="auto"/>
                <w:szCs w:val="21"/>
              </w:rPr>
            </w:pPr>
            <w:r>
              <w:rPr>
                <w:rFonts w:eastAsia="宋体"/>
                <w:color w:val="auto"/>
                <w:szCs w:val="21"/>
              </w:rPr>
              <w:t>脱硫装置废水经沉淀池（20m</w:t>
            </w:r>
            <w:r>
              <w:rPr>
                <w:rFonts w:eastAsia="宋体"/>
                <w:color w:val="auto"/>
                <w:szCs w:val="21"/>
                <w:vertAlign w:val="superscript"/>
              </w:rPr>
              <w:t>3</w:t>
            </w:r>
            <w:r>
              <w:rPr>
                <w:rFonts w:eastAsia="宋体"/>
                <w:color w:val="auto"/>
                <w:szCs w:val="21"/>
              </w:rPr>
              <w:t>/d）沉淀后回用不外排；生活污水经旱厕（30m</w:t>
            </w:r>
            <w:r>
              <w:rPr>
                <w:rFonts w:eastAsia="宋体"/>
                <w:color w:val="auto"/>
                <w:szCs w:val="21"/>
                <w:vertAlign w:val="superscript"/>
              </w:rPr>
              <w:t>3</w:t>
            </w:r>
            <w:r>
              <w:rPr>
                <w:rFonts w:eastAsia="宋体"/>
                <w:color w:val="auto"/>
                <w:szCs w:val="21"/>
              </w:rPr>
              <w:t>/d）收集后用于周边玉米、番薯地施肥浇灌。</w:t>
            </w:r>
          </w:p>
        </w:tc>
        <w:tc>
          <w:tcPr>
            <w:tcW w:w="1561" w:type="pct"/>
            <w:gridSpan w:val="2"/>
            <w:tcBorders>
              <w:right w:val="single" w:color="auto" w:sz="4" w:space="0"/>
            </w:tcBorders>
            <w:vAlign w:val="center"/>
          </w:tcPr>
          <w:p w14:paraId="4671AC4F">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33B075AF">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11A0BB9D">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65ABDD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3" w:hRule="atLeast"/>
          <w:jc w:val="center"/>
        </w:trPr>
        <w:tc>
          <w:tcPr>
            <w:tcW w:w="601" w:type="pct"/>
            <w:gridSpan w:val="2"/>
            <w:vMerge w:val="restart"/>
            <w:vAlign w:val="center"/>
          </w:tcPr>
          <w:p w14:paraId="4F6870A0">
            <w:pPr>
              <w:wordWrap w:val="0"/>
              <w:adjustRightInd w:val="0"/>
              <w:snapToGrid w:val="0"/>
              <w:jc w:val="center"/>
              <w:rPr>
                <w:rFonts w:eastAsia="宋体"/>
                <w:snapToGrid w:val="0"/>
                <w:color w:val="auto"/>
                <w:szCs w:val="21"/>
              </w:rPr>
            </w:pPr>
            <w:r>
              <w:rPr>
                <w:rFonts w:eastAsia="宋体"/>
                <w:snapToGrid w:val="0"/>
                <w:color w:val="auto"/>
                <w:szCs w:val="21"/>
              </w:rPr>
              <w:t>主要生产设备</w:t>
            </w:r>
          </w:p>
        </w:tc>
        <w:tc>
          <w:tcPr>
            <w:tcW w:w="1717" w:type="pct"/>
            <w:gridSpan w:val="2"/>
            <w:vAlign w:val="center"/>
          </w:tcPr>
          <w:p w14:paraId="5A2472DC">
            <w:pPr>
              <w:wordWrap w:val="0"/>
              <w:adjustRightInd w:val="0"/>
              <w:snapToGrid w:val="0"/>
              <w:jc w:val="center"/>
              <w:rPr>
                <w:rFonts w:eastAsia="宋体"/>
                <w:snapToGrid w:val="0"/>
                <w:color w:val="auto"/>
                <w:szCs w:val="21"/>
              </w:rPr>
            </w:pPr>
            <w:r>
              <w:rPr>
                <w:rFonts w:eastAsia="宋体"/>
                <w:snapToGrid w:val="0"/>
                <w:color w:val="auto"/>
                <w:szCs w:val="21"/>
              </w:rPr>
              <w:t>石灰窑2座、固定篦板推料棒式冷却机、风机2台、皮带输送机、圆形振动筛、挖掘机、发电机</w:t>
            </w:r>
          </w:p>
        </w:tc>
        <w:tc>
          <w:tcPr>
            <w:tcW w:w="1561" w:type="pct"/>
            <w:gridSpan w:val="2"/>
            <w:tcBorders>
              <w:right w:val="single" w:color="auto" w:sz="4" w:space="0"/>
            </w:tcBorders>
            <w:vAlign w:val="center"/>
          </w:tcPr>
          <w:p w14:paraId="6BA0C31F">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315D289B">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5EA027BA">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55334D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Merge w:val="continue"/>
            <w:vAlign w:val="center"/>
          </w:tcPr>
          <w:p w14:paraId="4F512F9B">
            <w:pPr>
              <w:wordWrap w:val="0"/>
              <w:adjustRightInd w:val="0"/>
              <w:snapToGrid w:val="0"/>
              <w:jc w:val="center"/>
              <w:rPr>
                <w:rFonts w:eastAsia="宋体"/>
                <w:snapToGrid w:val="0"/>
                <w:color w:val="auto"/>
                <w:szCs w:val="21"/>
              </w:rPr>
            </w:pPr>
          </w:p>
        </w:tc>
        <w:tc>
          <w:tcPr>
            <w:tcW w:w="1717" w:type="pct"/>
            <w:gridSpan w:val="2"/>
            <w:vAlign w:val="center"/>
          </w:tcPr>
          <w:p w14:paraId="7F9C24A4">
            <w:pPr>
              <w:wordWrap w:val="0"/>
              <w:adjustRightInd w:val="0"/>
              <w:snapToGrid w:val="0"/>
              <w:jc w:val="center"/>
              <w:rPr>
                <w:rFonts w:eastAsia="宋体"/>
                <w:snapToGrid w:val="0"/>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13323EB7">
            <w:pPr>
              <w:wordWrap w:val="0"/>
              <w:adjustRightInd w:val="0"/>
              <w:snapToGrid w:val="0"/>
              <w:jc w:val="left"/>
              <w:rPr>
                <w:rFonts w:eastAsia="宋体"/>
                <w:snapToGrid w:val="0"/>
                <w:color w:val="auto"/>
                <w:szCs w:val="21"/>
              </w:rPr>
            </w:pPr>
            <w:r>
              <w:rPr>
                <w:rFonts w:eastAsia="宋体"/>
                <w:snapToGrid w:val="0"/>
                <w:color w:val="auto"/>
                <w:szCs w:val="21"/>
              </w:rPr>
              <w:t>原料仓1座，中转仓1座，成品仓4座，石灰消化器1套、选粉机1台、滚筒筛1台、选磨一体机1台及配套的提升机和输送机</w:t>
            </w:r>
          </w:p>
        </w:tc>
        <w:tc>
          <w:tcPr>
            <w:tcW w:w="559" w:type="pct"/>
            <w:tcBorders>
              <w:left w:val="single" w:color="auto" w:sz="4" w:space="0"/>
            </w:tcBorders>
            <w:vAlign w:val="center"/>
          </w:tcPr>
          <w:p w14:paraId="6BCF3B68">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5B01238E">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460007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Merge w:val="restart"/>
            <w:vAlign w:val="center"/>
          </w:tcPr>
          <w:p w14:paraId="719AC09F">
            <w:pPr>
              <w:wordWrap w:val="0"/>
              <w:adjustRightInd w:val="0"/>
              <w:snapToGrid w:val="0"/>
              <w:jc w:val="center"/>
              <w:rPr>
                <w:rFonts w:eastAsia="宋体"/>
                <w:snapToGrid w:val="0"/>
                <w:color w:val="auto"/>
                <w:szCs w:val="21"/>
              </w:rPr>
            </w:pPr>
            <w:r>
              <w:rPr>
                <w:rFonts w:eastAsia="宋体"/>
                <w:snapToGrid w:val="0"/>
                <w:color w:val="auto"/>
                <w:szCs w:val="21"/>
              </w:rPr>
              <w:t>主要原料</w:t>
            </w:r>
          </w:p>
        </w:tc>
        <w:tc>
          <w:tcPr>
            <w:tcW w:w="985" w:type="pct"/>
            <w:vAlign w:val="center"/>
          </w:tcPr>
          <w:p w14:paraId="789A4668">
            <w:pPr>
              <w:widowControl/>
              <w:jc w:val="center"/>
              <w:textAlignment w:val="center"/>
              <w:rPr>
                <w:rFonts w:eastAsia="宋体"/>
                <w:snapToGrid w:val="0"/>
                <w:color w:val="auto"/>
                <w:szCs w:val="21"/>
              </w:rPr>
            </w:pPr>
            <w:r>
              <w:rPr>
                <w:rFonts w:eastAsia="宋体"/>
                <w:color w:val="auto"/>
                <w:szCs w:val="21"/>
              </w:rPr>
              <w:t>石灰石</w:t>
            </w:r>
          </w:p>
        </w:tc>
        <w:tc>
          <w:tcPr>
            <w:tcW w:w="731" w:type="pct"/>
            <w:vAlign w:val="center"/>
          </w:tcPr>
          <w:p w14:paraId="09D02D77">
            <w:pPr>
              <w:widowControl/>
              <w:jc w:val="center"/>
              <w:textAlignment w:val="center"/>
              <w:rPr>
                <w:rFonts w:eastAsia="宋体"/>
                <w:snapToGrid w:val="0"/>
                <w:color w:val="auto"/>
                <w:szCs w:val="21"/>
              </w:rPr>
            </w:pPr>
            <w:r>
              <w:rPr>
                <w:rFonts w:eastAsia="宋体"/>
                <w:color w:val="auto"/>
                <w:szCs w:val="21"/>
              </w:rPr>
              <w:t>32000</w:t>
            </w:r>
          </w:p>
        </w:tc>
        <w:tc>
          <w:tcPr>
            <w:tcW w:w="799" w:type="pct"/>
            <w:tcBorders>
              <w:right w:val="single" w:color="auto" w:sz="4" w:space="0"/>
            </w:tcBorders>
            <w:vAlign w:val="center"/>
          </w:tcPr>
          <w:p w14:paraId="22EE3C84">
            <w:pPr>
              <w:pStyle w:val="32"/>
              <w:wordWrap w:val="0"/>
              <w:spacing w:line="240" w:lineRule="auto"/>
              <w:ind w:firstLine="0" w:firstLineChars="0"/>
              <w:jc w:val="center"/>
              <w:rPr>
                <w:snapToGrid w:val="0"/>
                <w:color w:val="auto"/>
                <w:sz w:val="21"/>
                <w:szCs w:val="21"/>
              </w:rPr>
            </w:pPr>
            <w:r>
              <w:rPr>
                <w:color w:val="auto"/>
                <w:sz w:val="21"/>
                <w:szCs w:val="21"/>
              </w:rPr>
              <w:t>生石灰</w:t>
            </w:r>
          </w:p>
        </w:tc>
        <w:tc>
          <w:tcPr>
            <w:tcW w:w="762" w:type="pct"/>
            <w:tcBorders>
              <w:right w:val="single" w:color="auto" w:sz="4" w:space="0"/>
            </w:tcBorders>
            <w:vAlign w:val="center"/>
          </w:tcPr>
          <w:p w14:paraId="7963577E">
            <w:pPr>
              <w:widowControl/>
              <w:jc w:val="center"/>
              <w:textAlignment w:val="center"/>
              <w:rPr>
                <w:rFonts w:eastAsia="宋体"/>
                <w:snapToGrid w:val="0"/>
                <w:color w:val="auto"/>
                <w:szCs w:val="21"/>
              </w:rPr>
            </w:pPr>
            <w:r>
              <w:rPr>
                <w:rFonts w:eastAsia="宋体"/>
                <w:color w:val="auto"/>
                <w:kern w:val="0"/>
                <w:szCs w:val="21"/>
              </w:rPr>
              <w:t>20000</w:t>
            </w:r>
          </w:p>
        </w:tc>
        <w:tc>
          <w:tcPr>
            <w:tcW w:w="559" w:type="pct"/>
            <w:tcBorders>
              <w:left w:val="single" w:color="auto" w:sz="4" w:space="0"/>
            </w:tcBorders>
            <w:vAlign w:val="center"/>
          </w:tcPr>
          <w:p w14:paraId="2604D1C8">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262F8352">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413608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Merge w:val="continue"/>
            <w:vAlign w:val="center"/>
          </w:tcPr>
          <w:p w14:paraId="36E63D41">
            <w:pPr>
              <w:wordWrap w:val="0"/>
              <w:adjustRightInd w:val="0"/>
              <w:snapToGrid w:val="0"/>
              <w:jc w:val="center"/>
              <w:rPr>
                <w:rFonts w:eastAsia="宋体"/>
                <w:snapToGrid w:val="0"/>
                <w:color w:val="auto"/>
                <w:szCs w:val="21"/>
              </w:rPr>
            </w:pPr>
          </w:p>
        </w:tc>
        <w:tc>
          <w:tcPr>
            <w:tcW w:w="985" w:type="pct"/>
            <w:vAlign w:val="center"/>
          </w:tcPr>
          <w:p w14:paraId="5CD191C9">
            <w:pPr>
              <w:widowControl/>
              <w:jc w:val="center"/>
              <w:textAlignment w:val="center"/>
              <w:rPr>
                <w:rFonts w:eastAsia="宋体"/>
                <w:snapToGrid w:val="0"/>
                <w:color w:val="auto"/>
                <w:szCs w:val="21"/>
              </w:rPr>
            </w:pPr>
            <w:r>
              <w:rPr>
                <w:rFonts w:eastAsia="宋体"/>
                <w:color w:val="auto"/>
                <w:szCs w:val="21"/>
              </w:rPr>
              <w:t>水</w:t>
            </w:r>
          </w:p>
        </w:tc>
        <w:tc>
          <w:tcPr>
            <w:tcW w:w="731" w:type="pct"/>
            <w:vAlign w:val="center"/>
          </w:tcPr>
          <w:p w14:paraId="7702E71F">
            <w:pPr>
              <w:widowControl/>
              <w:jc w:val="center"/>
              <w:textAlignment w:val="center"/>
              <w:rPr>
                <w:rFonts w:eastAsia="宋体"/>
                <w:snapToGrid w:val="0"/>
                <w:color w:val="auto"/>
                <w:szCs w:val="21"/>
              </w:rPr>
            </w:pPr>
            <w:r>
              <w:rPr>
                <w:rFonts w:eastAsia="宋体"/>
                <w:color w:val="auto"/>
                <w:szCs w:val="21"/>
              </w:rPr>
              <w:t>3165</w:t>
            </w:r>
          </w:p>
        </w:tc>
        <w:tc>
          <w:tcPr>
            <w:tcW w:w="799" w:type="pct"/>
            <w:tcBorders>
              <w:right w:val="single" w:color="auto" w:sz="4" w:space="0"/>
            </w:tcBorders>
            <w:vAlign w:val="center"/>
          </w:tcPr>
          <w:p w14:paraId="1B13E429">
            <w:pPr>
              <w:pStyle w:val="32"/>
              <w:wordWrap w:val="0"/>
              <w:spacing w:line="240" w:lineRule="auto"/>
              <w:ind w:firstLine="0" w:firstLineChars="0"/>
              <w:jc w:val="center"/>
              <w:rPr>
                <w:snapToGrid w:val="0"/>
                <w:color w:val="auto"/>
                <w:sz w:val="21"/>
                <w:szCs w:val="21"/>
              </w:rPr>
            </w:pPr>
            <w:r>
              <w:rPr>
                <w:color w:val="auto"/>
                <w:sz w:val="21"/>
                <w:szCs w:val="21"/>
              </w:rPr>
              <w:t>水</w:t>
            </w:r>
          </w:p>
        </w:tc>
        <w:tc>
          <w:tcPr>
            <w:tcW w:w="762" w:type="pct"/>
            <w:tcBorders>
              <w:right w:val="single" w:color="auto" w:sz="4" w:space="0"/>
            </w:tcBorders>
            <w:vAlign w:val="center"/>
          </w:tcPr>
          <w:p w14:paraId="497CBC9E">
            <w:pPr>
              <w:widowControl/>
              <w:jc w:val="center"/>
              <w:textAlignment w:val="center"/>
              <w:rPr>
                <w:rFonts w:eastAsia="宋体"/>
                <w:snapToGrid w:val="0"/>
                <w:color w:val="auto"/>
                <w:szCs w:val="21"/>
              </w:rPr>
            </w:pPr>
            <w:r>
              <w:rPr>
                <w:rFonts w:eastAsia="宋体"/>
                <w:color w:val="auto"/>
                <w:kern w:val="0"/>
                <w:szCs w:val="21"/>
              </w:rPr>
              <w:t>6426</w:t>
            </w:r>
          </w:p>
        </w:tc>
        <w:tc>
          <w:tcPr>
            <w:tcW w:w="559" w:type="pct"/>
            <w:tcBorders>
              <w:left w:val="single" w:color="auto" w:sz="4" w:space="0"/>
            </w:tcBorders>
            <w:vAlign w:val="center"/>
          </w:tcPr>
          <w:p w14:paraId="4778F413">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2D7C16CF">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050643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Merge w:val="continue"/>
            <w:vAlign w:val="center"/>
          </w:tcPr>
          <w:p w14:paraId="6114F5AD">
            <w:pPr>
              <w:wordWrap w:val="0"/>
              <w:adjustRightInd w:val="0"/>
              <w:snapToGrid w:val="0"/>
              <w:jc w:val="center"/>
              <w:rPr>
                <w:rFonts w:eastAsia="宋体"/>
                <w:snapToGrid w:val="0"/>
                <w:color w:val="auto"/>
                <w:szCs w:val="21"/>
              </w:rPr>
            </w:pPr>
          </w:p>
        </w:tc>
        <w:tc>
          <w:tcPr>
            <w:tcW w:w="985" w:type="pct"/>
            <w:vAlign w:val="center"/>
          </w:tcPr>
          <w:p w14:paraId="12B16059">
            <w:pPr>
              <w:widowControl/>
              <w:jc w:val="center"/>
              <w:textAlignment w:val="center"/>
              <w:rPr>
                <w:rFonts w:eastAsia="宋体"/>
                <w:snapToGrid w:val="0"/>
                <w:color w:val="auto"/>
                <w:szCs w:val="21"/>
              </w:rPr>
            </w:pPr>
            <w:r>
              <w:rPr>
                <w:rFonts w:eastAsia="宋体"/>
                <w:color w:val="auto"/>
                <w:szCs w:val="21"/>
              </w:rPr>
              <w:t>煤</w:t>
            </w:r>
          </w:p>
        </w:tc>
        <w:tc>
          <w:tcPr>
            <w:tcW w:w="731" w:type="pct"/>
            <w:vAlign w:val="center"/>
          </w:tcPr>
          <w:p w14:paraId="74459D4B">
            <w:pPr>
              <w:widowControl/>
              <w:jc w:val="center"/>
              <w:textAlignment w:val="center"/>
              <w:rPr>
                <w:rFonts w:eastAsia="宋体"/>
                <w:snapToGrid w:val="0"/>
                <w:color w:val="auto"/>
                <w:szCs w:val="21"/>
              </w:rPr>
            </w:pPr>
            <w:r>
              <w:rPr>
                <w:rFonts w:eastAsia="宋体"/>
                <w:color w:val="auto"/>
                <w:szCs w:val="21"/>
              </w:rPr>
              <w:t>2000</w:t>
            </w:r>
          </w:p>
        </w:tc>
        <w:tc>
          <w:tcPr>
            <w:tcW w:w="799" w:type="pct"/>
            <w:tcBorders>
              <w:right w:val="single" w:color="auto" w:sz="4" w:space="0"/>
            </w:tcBorders>
            <w:vAlign w:val="center"/>
          </w:tcPr>
          <w:p w14:paraId="4AC877F5">
            <w:pPr>
              <w:wordWrap w:val="0"/>
              <w:adjustRightInd w:val="0"/>
              <w:snapToGrid w:val="0"/>
              <w:jc w:val="center"/>
              <w:rPr>
                <w:rFonts w:eastAsia="宋体"/>
                <w:snapToGrid w:val="0"/>
                <w:color w:val="auto"/>
                <w:szCs w:val="21"/>
              </w:rPr>
            </w:pPr>
            <w:r>
              <w:rPr>
                <w:rFonts w:eastAsia="宋体"/>
                <w:snapToGrid w:val="0"/>
                <w:color w:val="auto"/>
                <w:szCs w:val="21"/>
              </w:rPr>
              <w:t>/</w:t>
            </w:r>
          </w:p>
        </w:tc>
        <w:tc>
          <w:tcPr>
            <w:tcW w:w="762" w:type="pct"/>
            <w:tcBorders>
              <w:right w:val="single" w:color="auto" w:sz="4" w:space="0"/>
            </w:tcBorders>
            <w:vAlign w:val="center"/>
          </w:tcPr>
          <w:p w14:paraId="1862491D">
            <w:pPr>
              <w:wordWrap w:val="0"/>
              <w:adjustRightInd w:val="0"/>
              <w:snapToGrid w:val="0"/>
              <w:jc w:val="center"/>
              <w:rPr>
                <w:rFonts w:eastAsia="宋体"/>
                <w:snapToGrid w:val="0"/>
                <w:color w:val="auto"/>
                <w:szCs w:val="21"/>
              </w:rPr>
            </w:pPr>
            <w:r>
              <w:rPr>
                <w:rFonts w:eastAsia="宋体"/>
                <w:snapToGrid w:val="0"/>
                <w:color w:val="auto"/>
                <w:szCs w:val="21"/>
              </w:rPr>
              <w:t>/</w:t>
            </w:r>
          </w:p>
        </w:tc>
        <w:tc>
          <w:tcPr>
            <w:tcW w:w="559" w:type="pct"/>
            <w:tcBorders>
              <w:left w:val="single" w:color="auto" w:sz="4" w:space="0"/>
            </w:tcBorders>
            <w:vAlign w:val="center"/>
          </w:tcPr>
          <w:p w14:paraId="1D0034E0">
            <w:pPr>
              <w:wordWrap w:val="0"/>
              <w:adjustRightInd w:val="0"/>
              <w:snapToGrid w:val="0"/>
              <w:jc w:val="center"/>
              <w:rPr>
                <w:rFonts w:eastAsia="宋体"/>
                <w:snapToGrid w:val="0"/>
                <w:color w:val="auto"/>
                <w:szCs w:val="21"/>
              </w:rPr>
            </w:pPr>
          </w:p>
        </w:tc>
        <w:tc>
          <w:tcPr>
            <w:tcW w:w="559" w:type="pct"/>
            <w:tcBorders>
              <w:left w:val="single" w:color="auto" w:sz="4" w:space="0"/>
            </w:tcBorders>
            <w:vAlign w:val="center"/>
          </w:tcPr>
          <w:p w14:paraId="5435FE50">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0399C4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601" w:type="pct"/>
            <w:gridSpan w:val="2"/>
            <w:vAlign w:val="center"/>
          </w:tcPr>
          <w:p w14:paraId="024E4A56">
            <w:pPr>
              <w:wordWrap w:val="0"/>
              <w:adjustRightInd w:val="0"/>
              <w:snapToGrid w:val="0"/>
              <w:jc w:val="center"/>
              <w:rPr>
                <w:rFonts w:eastAsia="宋体"/>
                <w:snapToGrid w:val="0"/>
                <w:color w:val="auto"/>
                <w:szCs w:val="21"/>
              </w:rPr>
            </w:pPr>
            <w:r>
              <w:rPr>
                <w:rFonts w:eastAsia="宋体"/>
                <w:snapToGrid w:val="0"/>
                <w:color w:val="auto"/>
                <w:szCs w:val="21"/>
              </w:rPr>
              <w:t>工作制度和劳动定员</w:t>
            </w:r>
          </w:p>
        </w:tc>
        <w:tc>
          <w:tcPr>
            <w:tcW w:w="1717" w:type="pct"/>
            <w:gridSpan w:val="2"/>
            <w:vAlign w:val="center"/>
          </w:tcPr>
          <w:p w14:paraId="24A94320">
            <w:pPr>
              <w:wordWrap w:val="0"/>
              <w:adjustRightInd w:val="0"/>
              <w:snapToGrid w:val="0"/>
              <w:jc w:val="center"/>
              <w:rPr>
                <w:rFonts w:eastAsia="宋体"/>
                <w:snapToGrid w:val="0"/>
                <w:color w:val="auto"/>
                <w:szCs w:val="21"/>
              </w:rPr>
            </w:pPr>
            <w:r>
              <w:rPr>
                <w:rFonts w:eastAsia="宋体"/>
                <w:snapToGrid w:val="0"/>
                <w:color w:val="auto"/>
                <w:szCs w:val="21"/>
              </w:rPr>
              <w:t>员工10人，年生产天数为300天，每天工作8小时。</w:t>
            </w:r>
          </w:p>
        </w:tc>
        <w:tc>
          <w:tcPr>
            <w:tcW w:w="1561" w:type="pct"/>
            <w:gridSpan w:val="2"/>
            <w:tcBorders>
              <w:right w:val="single" w:color="auto" w:sz="4" w:space="0"/>
            </w:tcBorders>
            <w:vAlign w:val="center"/>
          </w:tcPr>
          <w:p w14:paraId="3A8BCF87">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11D66E20">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6DB04D6D">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5FCF03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restart"/>
            <w:vAlign w:val="center"/>
          </w:tcPr>
          <w:p w14:paraId="08FD6926">
            <w:pPr>
              <w:wordWrap w:val="0"/>
              <w:adjustRightInd w:val="0"/>
              <w:snapToGrid w:val="0"/>
              <w:jc w:val="center"/>
              <w:rPr>
                <w:rFonts w:eastAsia="宋体"/>
                <w:snapToGrid w:val="0"/>
                <w:color w:val="auto"/>
                <w:szCs w:val="21"/>
              </w:rPr>
            </w:pPr>
            <w:r>
              <w:rPr>
                <w:rFonts w:eastAsia="宋体"/>
                <w:snapToGrid w:val="0"/>
                <w:color w:val="auto"/>
                <w:szCs w:val="21"/>
              </w:rPr>
              <w:t>环保工程</w:t>
            </w:r>
          </w:p>
        </w:tc>
        <w:tc>
          <w:tcPr>
            <w:tcW w:w="364" w:type="pct"/>
            <w:vMerge w:val="restart"/>
            <w:vAlign w:val="center"/>
          </w:tcPr>
          <w:p w14:paraId="0229940B">
            <w:pPr>
              <w:wordWrap w:val="0"/>
              <w:adjustRightInd w:val="0"/>
              <w:snapToGrid w:val="0"/>
              <w:jc w:val="center"/>
              <w:rPr>
                <w:rFonts w:eastAsia="宋体"/>
                <w:snapToGrid w:val="0"/>
                <w:color w:val="auto"/>
                <w:szCs w:val="21"/>
              </w:rPr>
            </w:pPr>
            <w:r>
              <w:rPr>
                <w:rFonts w:eastAsia="宋体"/>
                <w:snapToGrid w:val="0"/>
                <w:color w:val="auto"/>
                <w:szCs w:val="21"/>
              </w:rPr>
              <w:t>废气处理</w:t>
            </w:r>
          </w:p>
        </w:tc>
        <w:tc>
          <w:tcPr>
            <w:tcW w:w="1717" w:type="pct"/>
            <w:gridSpan w:val="2"/>
            <w:vAlign w:val="center"/>
          </w:tcPr>
          <w:p w14:paraId="2D520681">
            <w:pPr>
              <w:adjustRightInd w:val="0"/>
              <w:snapToGrid w:val="0"/>
              <w:jc w:val="center"/>
              <w:rPr>
                <w:rFonts w:eastAsia="宋体"/>
                <w:snapToGrid w:val="0"/>
                <w:color w:val="auto"/>
                <w:szCs w:val="21"/>
              </w:rPr>
            </w:pPr>
            <w:r>
              <w:rPr>
                <w:rFonts w:eastAsia="宋体"/>
                <w:color w:val="auto"/>
                <w:szCs w:val="21"/>
              </w:rPr>
              <w:t>成品石灰分选、储存和装卸时产生的含尘废气：经集气罩收集后，由1台脉冲式布袋除尘器（风量12000m</w:t>
            </w:r>
            <w:r>
              <w:rPr>
                <w:rFonts w:eastAsia="宋体"/>
                <w:color w:val="auto"/>
                <w:szCs w:val="21"/>
                <w:vertAlign w:val="superscript"/>
              </w:rPr>
              <w:t>3</w:t>
            </w:r>
            <w:r>
              <w:rPr>
                <w:rFonts w:eastAsia="宋体"/>
                <w:color w:val="auto"/>
                <w:szCs w:val="21"/>
              </w:rPr>
              <w:t>/h）处理后，经由15m高的排气筒（DA002）排放。</w:t>
            </w:r>
          </w:p>
        </w:tc>
        <w:tc>
          <w:tcPr>
            <w:tcW w:w="1561" w:type="pct"/>
            <w:gridSpan w:val="2"/>
            <w:tcBorders>
              <w:right w:val="single" w:color="auto" w:sz="4" w:space="0"/>
            </w:tcBorders>
            <w:vAlign w:val="center"/>
          </w:tcPr>
          <w:p w14:paraId="5CE25DA3">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75D4FA6B">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7F7FE0F3">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049BA6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2D3BB53C">
            <w:pPr>
              <w:wordWrap w:val="0"/>
              <w:adjustRightInd w:val="0"/>
              <w:snapToGrid w:val="0"/>
              <w:jc w:val="center"/>
              <w:rPr>
                <w:rFonts w:eastAsia="宋体"/>
                <w:snapToGrid w:val="0"/>
                <w:color w:val="auto"/>
                <w:szCs w:val="21"/>
              </w:rPr>
            </w:pPr>
          </w:p>
        </w:tc>
        <w:tc>
          <w:tcPr>
            <w:tcW w:w="364" w:type="pct"/>
            <w:vMerge w:val="continue"/>
            <w:vAlign w:val="center"/>
          </w:tcPr>
          <w:p w14:paraId="0B3C6270">
            <w:pPr>
              <w:wordWrap w:val="0"/>
              <w:adjustRightInd w:val="0"/>
              <w:snapToGrid w:val="0"/>
              <w:jc w:val="center"/>
              <w:rPr>
                <w:rFonts w:eastAsia="宋体"/>
                <w:snapToGrid w:val="0"/>
                <w:color w:val="auto"/>
                <w:szCs w:val="21"/>
              </w:rPr>
            </w:pPr>
          </w:p>
        </w:tc>
        <w:tc>
          <w:tcPr>
            <w:tcW w:w="1717" w:type="pct"/>
            <w:gridSpan w:val="2"/>
            <w:vAlign w:val="center"/>
          </w:tcPr>
          <w:p w14:paraId="405F68F8">
            <w:pPr>
              <w:adjustRightInd w:val="0"/>
              <w:snapToGrid w:val="0"/>
              <w:jc w:val="center"/>
              <w:rPr>
                <w:rFonts w:eastAsia="宋体"/>
                <w:color w:val="auto"/>
                <w:szCs w:val="21"/>
              </w:rPr>
            </w:pPr>
            <w:r>
              <w:rPr>
                <w:rFonts w:eastAsia="宋体"/>
                <w:color w:val="auto"/>
                <w:szCs w:val="21"/>
              </w:rPr>
              <w:t>石灰窑尾气：全封闭集气罩收集后，引至1套湿式旋流脱硫除尘器处理（风量30000m</w:t>
            </w:r>
            <w:r>
              <w:rPr>
                <w:rFonts w:eastAsia="宋体"/>
                <w:color w:val="auto"/>
                <w:szCs w:val="21"/>
                <w:vertAlign w:val="superscript"/>
              </w:rPr>
              <w:t>3</w:t>
            </w:r>
            <w:r>
              <w:rPr>
                <w:rFonts w:eastAsia="宋体"/>
                <w:color w:val="auto"/>
                <w:szCs w:val="21"/>
              </w:rPr>
              <w:t>/h），经由18m高的排气筒（DA001）排放。</w:t>
            </w:r>
          </w:p>
        </w:tc>
        <w:tc>
          <w:tcPr>
            <w:tcW w:w="1561" w:type="pct"/>
            <w:gridSpan w:val="2"/>
            <w:tcBorders>
              <w:right w:val="single" w:color="auto" w:sz="4" w:space="0"/>
            </w:tcBorders>
            <w:vAlign w:val="center"/>
          </w:tcPr>
          <w:p w14:paraId="13FCAD78">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1B6549C2">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589CA94D">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11CC9D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4272289C">
            <w:pPr>
              <w:wordWrap w:val="0"/>
              <w:adjustRightInd w:val="0"/>
              <w:snapToGrid w:val="0"/>
              <w:jc w:val="center"/>
              <w:rPr>
                <w:rFonts w:eastAsia="宋体"/>
                <w:snapToGrid w:val="0"/>
                <w:color w:val="auto"/>
                <w:szCs w:val="21"/>
              </w:rPr>
            </w:pPr>
          </w:p>
        </w:tc>
        <w:tc>
          <w:tcPr>
            <w:tcW w:w="364" w:type="pct"/>
            <w:vMerge w:val="continue"/>
            <w:vAlign w:val="center"/>
          </w:tcPr>
          <w:p w14:paraId="33784BEA">
            <w:pPr>
              <w:wordWrap w:val="0"/>
              <w:adjustRightInd w:val="0"/>
              <w:snapToGrid w:val="0"/>
              <w:jc w:val="center"/>
              <w:rPr>
                <w:rFonts w:eastAsia="宋体"/>
                <w:snapToGrid w:val="0"/>
                <w:color w:val="auto"/>
                <w:szCs w:val="21"/>
              </w:rPr>
            </w:pPr>
          </w:p>
        </w:tc>
        <w:tc>
          <w:tcPr>
            <w:tcW w:w="1717" w:type="pct"/>
            <w:gridSpan w:val="2"/>
            <w:vAlign w:val="center"/>
          </w:tcPr>
          <w:p w14:paraId="45EE398F">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45C356DE">
            <w:pPr>
              <w:pStyle w:val="35"/>
              <w:wordWrap w:val="0"/>
              <w:jc w:val="left"/>
              <w:rPr>
                <w:snapToGrid w:val="0"/>
                <w:color w:val="auto"/>
              </w:rPr>
            </w:pPr>
            <w:r>
              <w:rPr>
                <w:color w:val="auto"/>
              </w:rPr>
              <w:t>原料仓废气：经1#脉冲式布袋除尘器处理后，无组织排放，风量20000m</w:t>
            </w:r>
            <w:r>
              <w:rPr>
                <w:color w:val="auto"/>
                <w:vertAlign w:val="superscript"/>
              </w:rPr>
              <w:t>3</w:t>
            </w:r>
            <w:r>
              <w:rPr>
                <w:color w:val="auto"/>
              </w:rPr>
              <w:t>/h。</w:t>
            </w:r>
          </w:p>
        </w:tc>
        <w:tc>
          <w:tcPr>
            <w:tcW w:w="559" w:type="pct"/>
            <w:tcBorders>
              <w:left w:val="single" w:color="auto" w:sz="4" w:space="0"/>
            </w:tcBorders>
            <w:vAlign w:val="center"/>
          </w:tcPr>
          <w:p w14:paraId="47CF8BD9">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2F85D2BB">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1F4E90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36" w:type="pct"/>
            <w:vMerge w:val="continue"/>
            <w:vAlign w:val="center"/>
          </w:tcPr>
          <w:p w14:paraId="0C663E7E">
            <w:pPr>
              <w:wordWrap w:val="0"/>
              <w:adjustRightInd w:val="0"/>
              <w:snapToGrid w:val="0"/>
              <w:jc w:val="center"/>
              <w:rPr>
                <w:rFonts w:eastAsia="宋体"/>
                <w:snapToGrid w:val="0"/>
                <w:color w:val="auto"/>
                <w:szCs w:val="21"/>
              </w:rPr>
            </w:pPr>
          </w:p>
        </w:tc>
        <w:tc>
          <w:tcPr>
            <w:tcW w:w="364" w:type="pct"/>
            <w:vMerge w:val="continue"/>
            <w:vAlign w:val="center"/>
          </w:tcPr>
          <w:p w14:paraId="399B72C2">
            <w:pPr>
              <w:wordWrap w:val="0"/>
              <w:adjustRightInd w:val="0"/>
              <w:snapToGrid w:val="0"/>
              <w:jc w:val="center"/>
              <w:rPr>
                <w:rFonts w:eastAsia="宋体"/>
                <w:snapToGrid w:val="0"/>
                <w:color w:val="auto"/>
                <w:szCs w:val="21"/>
              </w:rPr>
            </w:pPr>
          </w:p>
        </w:tc>
        <w:tc>
          <w:tcPr>
            <w:tcW w:w="1717" w:type="pct"/>
            <w:gridSpan w:val="2"/>
            <w:vAlign w:val="center"/>
          </w:tcPr>
          <w:p w14:paraId="7C596BB7">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25FD0F1F">
            <w:pPr>
              <w:pStyle w:val="35"/>
              <w:wordWrap w:val="0"/>
              <w:jc w:val="left"/>
              <w:rPr>
                <w:snapToGrid w:val="0"/>
                <w:color w:val="auto"/>
              </w:rPr>
            </w:pPr>
            <w:r>
              <w:rPr>
                <w:color w:val="auto"/>
              </w:rPr>
              <w:t>中转仓废气：经2#脉冲式布袋除尘器处理后，无组织排放，风量2000m</w:t>
            </w:r>
            <w:r>
              <w:rPr>
                <w:color w:val="auto"/>
                <w:vertAlign w:val="superscript"/>
              </w:rPr>
              <w:t>3</w:t>
            </w:r>
            <w:r>
              <w:rPr>
                <w:color w:val="auto"/>
              </w:rPr>
              <w:t>/h。</w:t>
            </w:r>
          </w:p>
        </w:tc>
        <w:tc>
          <w:tcPr>
            <w:tcW w:w="559" w:type="pct"/>
            <w:tcBorders>
              <w:left w:val="single" w:color="auto" w:sz="4" w:space="0"/>
            </w:tcBorders>
            <w:vAlign w:val="center"/>
          </w:tcPr>
          <w:p w14:paraId="02856DA0">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0FFFD559">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6BAFE8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631A9411">
            <w:pPr>
              <w:wordWrap w:val="0"/>
              <w:adjustRightInd w:val="0"/>
              <w:snapToGrid w:val="0"/>
              <w:jc w:val="center"/>
              <w:rPr>
                <w:rFonts w:eastAsia="宋体"/>
                <w:snapToGrid w:val="0"/>
                <w:color w:val="auto"/>
                <w:szCs w:val="21"/>
              </w:rPr>
            </w:pPr>
          </w:p>
        </w:tc>
        <w:tc>
          <w:tcPr>
            <w:tcW w:w="364" w:type="pct"/>
            <w:vMerge w:val="continue"/>
            <w:vAlign w:val="center"/>
          </w:tcPr>
          <w:p w14:paraId="659B1242">
            <w:pPr>
              <w:wordWrap w:val="0"/>
              <w:adjustRightInd w:val="0"/>
              <w:snapToGrid w:val="0"/>
              <w:jc w:val="center"/>
              <w:rPr>
                <w:rFonts w:eastAsia="宋体"/>
                <w:snapToGrid w:val="0"/>
                <w:color w:val="auto"/>
                <w:szCs w:val="21"/>
              </w:rPr>
            </w:pPr>
          </w:p>
        </w:tc>
        <w:tc>
          <w:tcPr>
            <w:tcW w:w="1717" w:type="pct"/>
            <w:gridSpan w:val="2"/>
            <w:vAlign w:val="center"/>
          </w:tcPr>
          <w:p w14:paraId="295DD12D">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3840FCAB">
            <w:pPr>
              <w:pStyle w:val="35"/>
              <w:wordWrap w:val="0"/>
              <w:jc w:val="left"/>
              <w:rPr>
                <w:snapToGrid w:val="0"/>
                <w:color w:val="auto"/>
              </w:rPr>
            </w:pPr>
            <w:r>
              <w:rPr>
                <w:color w:val="auto"/>
              </w:rPr>
              <w:t>1#成品仓废气：经3#脉冲式布袋除尘器处理后，无组织排放，风量5000m</w:t>
            </w:r>
            <w:r>
              <w:rPr>
                <w:color w:val="auto"/>
                <w:vertAlign w:val="superscript"/>
              </w:rPr>
              <w:t>3</w:t>
            </w:r>
            <w:r>
              <w:rPr>
                <w:color w:val="auto"/>
              </w:rPr>
              <w:t>/h。</w:t>
            </w:r>
          </w:p>
        </w:tc>
        <w:tc>
          <w:tcPr>
            <w:tcW w:w="559" w:type="pct"/>
            <w:tcBorders>
              <w:left w:val="single" w:color="auto" w:sz="4" w:space="0"/>
            </w:tcBorders>
            <w:vAlign w:val="center"/>
          </w:tcPr>
          <w:p w14:paraId="3D306D8B">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7C7C13EA">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FF039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0261AF32">
            <w:pPr>
              <w:wordWrap w:val="0"/>
              <w:adjustRightInd w:val="0"/>
              <w:snapToGrid w:val="0"/>
              <w:jc w:val="center"/>
              <w:rPr>
                <w:rFonts w:eastAsia="宋体"/>
                <w:snapToGrid w:val="0"/>
                <w:color w:val="auto"/>
                <w:szCs w:val="21"/>
              </w:rPr>
            </w:pPr>
          </w:p>
        </w:tc>
        <w:tc>
          <w:tcPr>
            <w:tcW w:w="364" w:type="pct"/>
            <w:vMerge w:val="continue"/>
            <w:vAlign w:val="center"/>
          </w:tcPr>
          <w:p w14:paraId="5FB683D1">
            <w:pPr>
              <w:wordWrap w:val="0"/>
              <w:adjustRightInd w:val="0"/>
              <w:snapToGrid w:val="0"/>
              <w:jc w:val="center"/>
              <w:rPr>
                <w:rFonts w:eastAsia="宋体"/>
                <w:snapToGrid w:val="0"/>
                <w:color w:val="auto"/>
                <w:szCs w:val="21"/>
              </w:rPr>
            </w:pPr>
          </w:p>
        </w:tc>
        <w:tc>
          <w:tcPr>
            <w:tcW w:w="1717" w:type="pct"/>
            <w:gridSpan w:val="2"/>
            <w:vAlign w:val="center"/>
          </w:tcPr>
          <w:p w14:paraId="5E2BECA1">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18CF2637">
            <w:pPr>
              <w:pStyle w:val="35"/>
              <w:wordWrap w:val="0"/>
              <w:jc w:val="left"/>
              <w:rPr>
                <w:snapToGrid w:val="0"/>
                <w:color w:val="auto"/>
              </w:rPr>
            </w:pPr>
            <w:r>
              <w:rPr>
                <w:color w:val="auto"/>
              </w:rPr>
              <w:t>2#成品仓废气：经4#脉冲式布袋除尘器处理后，无组织排放，风量5000m</w:t>
            </w:r>
            <w:r>
              <w:rPr>
                <w:color w:val="auto"/>
                <w:vertAlign w:val="superscript"/>
              </w:rPr>
              <w:t>3</w:t>
            </w:r>
            <w:r>
              <w:rPr>
                <w:color w:val="auto"/>
              </w:rPr>
              <w:t>/h。</w:t>
            </w:r>
          </w:p>
        </w:tc>
        <w:tc>
          <w:tcPr>
            <w:tcW w:w="559" w:type="pct"/>
            <w:tcBorders>
              <w:left w:val="single" w:color="auto" w:sz="4" w:space="0"/>
            </w:tcBorders>
            <w:vAlign w:val="center"/>
          </w:tcPr>
          <w:p w14:paraId="557EA8A8">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39118DAD">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468B2E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546277ED">
            <w:pPr>
              <w:wordWrap w:val="0"/>
              <w:adjustRightInd w:val="0"/>
              <w:snapToGrid w:val="0"/>
              <w:jc w:val="center"/>
              <w:rPr>
                <w:rFonts w:eastAsia="宋体"/>
                <w:snapToGrid w:val="0"/>
                <w:color w:val="auto"/>
                <w:szCs w:val="21"/>
              </w:rPr>
            </w:pPr>
          </w:p>
        </w:tc>
        <w:tc>
          <w:tcPr>
            <w:tcW w:w="364" w:type="pct"/>
            <w:vMerge w:val="continue"/>
            <w:vAlign w:val="center"/>
          </w:tcPr>
          <w:p w14:paraId="35D36421">
            <w:pPr>
              <w:wordWrap w:val="0"/>
              <w:adjustRightInd w:val="0"/>
              <w:snapToGrid w:val="0"/>
              <w:jc w:val="center"/>
              <w:rPr>
                <w:rFonts w:eastAsia="宋体"/>
                <w:snapToGrid w:val="0"/>
                <w:color w:val="auto"/>
                <w:szCs w:val="21"/>
              </w:rPr>
            </w:pPr>
          </w:p>
        </w:tc>
        <w:tc>
          <w:tcPr>
            <w:tcW w:w="1717" w:type="pct"/>
            <w:gridSpan w:val="2"/>
            <w:vAlign w:val="center"/>
          </w:tcPr>
          <w:p w14:paraId="09789FA0">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4A2120EC">
            <w:pPr>
              <w:pStyle w:val="35"/>
              <w:wordWrap w:val="0"/>
              <w:jc w:val="left"/>
              <w:rPr>
                <w:snapToGrid w:val="0"/>
                <w:color w:val="auto"/>
              </w:rPr>
            </w:pPr>
            <w:r>
              <w:rPr>
                <w:color w:val="auto"/>
              </w:rPr>
              <w:t>3#成品仓废气：经5#脉冲式布袋除尘器处理后，无组织排放，风量5000m</w:t>
            </w:r>
            <w:r>
              <w:rPr>
                <w:color w:val="auto"/>
                <w:vertAlign w:val="superscript"/>
              </w:rPr>
              <w:t>3</w:t>
            </w:r>
            <w:r>
              <w:rPr>
                <w:color w:val="auto"/>
              </w:rPr>
              <w:t>/h。</w:t>
            </w:r>
          </w:p>
        </w:tc>
        <w:tc>
          <w:tcPr>
            <w:tcW w:w="559" w:type="pct"/>
            <w:tcBorders>
              <w:left w:val="single" w:color="auto" w:sz="4" w:space="0"/>
            </w:tcBorders>
            <w:vAlign w:val="center"/>
          </w:tcPr>
          <w:p w14:paraId="2E95C84D">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4C802AB3">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DDC4D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30A2A365">
            <w:pPr>
              <w:wordWrap w:val="0"/>
              <w:adjustRightInd w:val="0"/>
              <w:snapToGrid w:val="0"/>
              <w:jc w:val="center"/>
              <w:rPr>
                <w:rFonts w:eastAsia="宋体"/>
                <w:snapToGrid w:val="0"/>
                <w:color w:val="auto"/>
                <w:szCs w:val="21"/>
              </w:rPr>
            </w:pPr>
          </w:p>
        </w:tc>
        <w:tc>
          <w:tcPr>
            <w:tcW w:w="364" w:type="pct"/>
            <w:vMerge w:val="continue"/>
            <w:vAlign w:val="center"/>
          </w:tcPr>
          <w:p w14:paraId="15A83E0C">
            <w:pPr>
              <w:wordWrap w:val="0"/>
              <w:adjustRightInd w:val="0"/>
              <w:snapToGrid w:val="0"/>
              <w:jc w:val="center"/>
              <w:rPr>
                <w:rFonts w:eastAsia="宋体"/>
                <w:snapToGrid w:val="0"/>
                <w:color w:val="auto"/>
                <w:szCs w:val="21"/>
              </w:rPr>
            </w:pPr>
          </w:p>
        </w:tc>
        <w:tc>
          <w:tcPr>
            <w:tcW w:w="1717" w:type="pct"/>
            <w:gridSpan w:val="2"/>
            <w:vAlign w:val="center"/>
          </w:tcPr>
          <w:p w14:paraId="7D4AA517">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64AC43FC">
            <w:pPr>
              <w:pStyle w:val="35"/>
              <w:wordWrap w:val="0"/>
              <w:jc w:val="left"/>
              <w:rPr>
                <w:snapToGrid w:val="0"/>
                <w:color w:val="auto"/>
              </w:rPr>
            </w:pPr>
            <w:r>
              <w:rPr>
                <w:color w:val="auto"/>
              </w:rPr>
              <w:t>4#成品仓废气：经6#脉冲式布袋除尘器处理后，无组织排放，风量5000m</w:t>
            </w:r>
            <w:r>
              <w:rPr>
                <w:color w:val="auto"/>
                <w:vertAlign w:val="superscript"/>
              </w:rPr>
              <w:t>3</w:t>
            </w:r>
            <w:r>
              <w:rPr>
                <w:color w:val="auto"/>
              </w:rPr>
              <w:t>/h。</w:t>
            </w:r>
          </w:p>
        </w:tc>
        <w:tc>
          <w:tcPr>
            <w:tcW w:w="559" w:type="pct"/>
            <w:tcBorders>
              <w:left w:val="single" w:color="auto" w:sz="4" w:space="0"/>
            </w:tcBorders>
            <w:vAlign w:val="center"/>
          </w:tcPr>
          <w:p w14:paraId="0170CA35">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08743F73">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14C009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3B7FC928">
            <w:pPr>
              <w:wordWrap w:val="0"/>
              <w:adjustRightInd w:val="0"/>
              <w:snapToGrid w:val="0"/>
              <w:jc w:val="center"/>
              <w:rPr>
                <w:rFonts w:eastAsia="宋体"/>
                <w:snapToGrid w:val="0"/>
                <w:color w:val="auto"/>
                <w:szCs w:val="21"/>
              </w:rPr>
            </w:pPr>
          </w:p>
        </w:tc>
        <w:tc>
          <w:tcPr>
            <w:tcW w:w="364" w:type="pct"/>
            <w:vMerge w:val="continue"/>
            <w:vAlign w:val="center"/>
          </w:tcPr>
          <w:p w14:paraId="308AD04B">
            <w:pPr>
              <w:wordWrap w:val="0"/>
              <w:adjustRightInd w:val="0"/>
              <w:snapToGrid w:val="0"/>
              <w:jc w:val="center"/>
              <w:rPr>
                <w:rFonts w:eastAsia="宋体"/>
                <w:snapToGrid w:val="0"/>
                <w:color w:val="auto"/>
                <w:szCs w:val="21"/>
              </w:rPr>
            </w:pPr>
          </w:p>
        </w:tc>
        <w:tc>
          <w:tcPr>
            <w:tcW w:w="1717" w:type="pct"/>
            <w:gridSpan w:val="2"/>
            <w:vAlign w:val="center"/>
          </w:tcPr>
          <w:p w14:paraId="6083C399">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7BE4F252">
            <w:pPr>
              <w:pStyle w:val="35"/>
              <w:wordWrap w:val="0"/>
              <w:jc w:val="left"/>
              <w:rPr>
                <w:snapToGrid w:val="0"/>
                <w:color w:val="auto"/>
              </w:rPr>
            </w:pPr>
            <w:r>
              <w:rPr>
                <w:color w:val="auto"/>
              </w:rPr>
              <w:t>消化仓废气：经7#脉冲式布袋除尘器处理后，无组织排放，风量20000m</w:t>
            </w:r>
            <w:r>
              <w:rPr>
                <w:color w:val="auto"/>
                <w:vertAlign w:val="superscript"/>
              </w:rPr>
              <w:t>3</w:t>
            </w:r>
            <w:r>
              <w:rPr>
                <w:color w:val="auto"/>
              </w:rPr>
              <w:t>/h。</w:t>
            </w:r>
          </w:p>
        </w:tc>
        <w:tc>
          <w:tcPr>
            <w:tcW w:w="559" w:type="pct"/>
            <w:tcBorders>
              <w:left w:val="single" w:color="auto" w:sz="4" w:space="0"/>
            </w:tcBorders>
            <w:vAlign w:val="center"/>
          </w:tcPr>
          <w:p w14:paraId="3B177404">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6E39E8DB">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2F8B3D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7F4B2480">
            <w:pPr>
              <w:wordWrap w:val="0"/>
              <w:adjustRightInd w:val="0"/>
              <w:snapToGrid w:val="0"/>
              <w:jc w:val="center"/>
              <w:rPr>
                <w:rFonts w:eastAsia="宋体"/>
                <w:snapToGrid w:val="0"/>
                <w:color w:val="auto"/>
                <w:szCs w:val="21"/>
              </w:rPr>
            </w:pPr>
          </w:p>
        </w:tc>
        <w:tc>
          <w:tcPr>
            <w:tcW w:w="364" w:type="pct"/>
            <w:vMerge w:val="continue"/>
            <w:vAlign w:val="center"/>
          </w:tcPr>
          <w:p w14:paraId="3616BCBC">
            <w:pPr>
              <w:wordWrap w:val="0"/>
              <w:adjustRightInd w:val="0"/>
              <w:snapToGrid w:val="0"/>
              <w:jc w:val="center"/>
              <w:rPr>
                <w:rFonts w:eastAsia="宋体"/>
                <w:snapToGrid w:val="0"/>
                <w:color w:val="auto"/>
                <w:szCs w:val="21"/>
              </w:rPr>
            </w:pPr>
          </w:p>
        </w:tc>
        <w:tc>
          <w:tcPr>
            <w:tcW w:w="1717" w:type="pct"/>
            <w:gridSpan w:val="2"/>
            <w:vAlign w:val="center"/>
          </w:tcPr>
          <w:p w14:paraId="195AFB75">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02BCF659">
            <w:pPr>
              <w:pStyle w:val="35"/>
              <w:wordWrap w:val="0"/>
              <w:jc w:val="left"/>
              <w:rPr>
                <w:snapToGrid w:val="0"/>
                <w:color w:val="auto"/>
              </w:rPr>
            </w:pPr>
            <w:r>
              <w:rPr>
                <w:rFonts w:hint="eastAsia"/>
                <w:color w:val="auto"/>
              </w:rPr>
              <w:t>分选废气：经8#脉冲式布袋除尘器</w:t>
            </w:r>
            <w:r>
              <w:rPr>
                <w:rFonts w:hint="eastAsia"/>
                <w:color w:val="auto"/>
                <w:lang w:eastAsia="zh-CN"/>
              </w:rPr>
              <w:t>（</w:t>
            </w:r>
            <w:r>
              <w:rPr>
                <w:rFonts w:hint="eastAsia"/>
                <w:color w:val="auto"/>
              </w:rPr>
              <w:t>风量20000m</w:t>
            </w:r>
            <w:r>
              <w:rPr>
                <w:rFonts w:hint="eastAsia"/>
                <w:color w:val="auto"/>
                <w:vertAlign w:val="superscript"/>
              </w:rPr>
              <w:t>3</w:t>
            </w:r>
            <w:r>
              <w:rPr>
                <w:rFonts w:hint="eastAsia"/>
                <w:color w:val="auto"/>
              </w:rPr>
              <w:t>/h</w:t>
            </w:r>
            <w:r>
              <w:rPr>
                <w:rFonts w:hint="eastAsia"/>
                <w:color w:val="auto"/>
                <w:lang w:eastAsia="zh-CN"/>
              </w:rPr>
              <w:t>）</w:t>
            </w:r>
            <w:r>
              <w:rPr>
                <w:rFonts w:hint="eastAsia"/>
                <w:color w:val="auto"/>
              </w:rPr>
              <w:t>处理后，经由15m高排气筒</w:t>
            </w:r>
            <w:r>
              <w:rPr>
                <w:rFonts w:hint="eastAsia"/>
                <w:color w:val="auto"/>
                <w:lang w:eastAsia="zh-CN"/>
              </w:rPr>
              <w:t>（</w:t>
            </w:r>
            <w:r>
              <w:rPr>
                <w:rFonts w:hint="eastAsia"/>
                <w:color w:val="auto"/>
                <w:lang w:val="en-US" w:eastAsia="zh-CN"/>
              </w:rPr>
              <w:t>DA003</w:t>
            </w:r>
            <w:r>
              <w:rPr>
                <w:rFonts w:hint="eastAsia"/>
                <w:color w:val="auto"/>
                <w:lang w:eastAsia="zh-CN"/>
              </w:rPr>
              <w:t>）</w:t>
            </w:r>
            <w:r>
              <w:rPr>
                <w:rFonts w:hint="eastAsia"/>
                <w:color w:val="auto"/>
              </w:rPr>
              <w:t>排放。</w:t>
            </w:r>
          </w:p>
        </w:tc>
        <w:tc>
          <w:tcPr>
            <w:tcW w:w="559" w:type="pct"/>
            <w:tcBorders>
              <w:left w:val="single" w:color="auto" w:sz="4" w:space="0"/>
            </w:tcBorders>
            <w:vAlign w:val="center"/>
          </w:tcPr>
          <w:p w14:paraId="349321BF">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3E7DF8B1">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60A818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727B349B">
            <w:pPr>
              <w:wordWrap w:val="0"/>
              <w:adjustRightInd w:val="0"/>
              <w:snapToGrid w:val="0"/>
              <w:jc w:val="center"/>
              <w:rPr>
                <w:rFonts w:eastAsia="宋体"/>
                <w:snapToGrid w:val="0"/>
                <w:color w:val="auto"/>
                <w:szCs w:val="21"/>
              </w:rPr>
            </w:pPr>
          </w:p>
        </w:tc>
        <w:tc>
          <w:tcPr>
            <w:tcW w:w="364" w:type="pct"/>
            <w:vMerge w:val="continue"/>
            <w:vAlign w:val="center"/>
          </w:tcPr>
          <w:p w14:paraId="47E16679">
            <w:pPr>
              <w:wordWrap w:val="0"/>
              <w:adjustRightInd w:val="0"/>
              <w:snapToGrid w:val="0"/>
              <w:jc w:val="center"/>
              <w:rPr>
                <w:rFonts w:eastAsia="宋体"/>
                <w:snapToGrid w:val="0"/>
                <w:color w:val="auto"/>
                <w:szCs w:val="21"/>
              </w:rPr>
            </w:pPr>
          </w:p>
        </w:tc>
        <w:tc>
          <w:tcPr>
            <w:tcW w:w="1717" w:type="pct"/>
            <w:gridSpan w:val="2"/>
            <w:vAlign w:val="center"/>
          </w:tcPr>
          <w:p w14:paraId="6A7A0147">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6A078596">
            <w:pPr>
              <w:pStyle w:val="35"/>
              <w:wordWrap w:val="0"/>
              <w:jc w:val="left"/>
              <w:rPr>
                <w:snapToGrid w:val="0"/>
                <w:color w:val="auto"/>
              </w:rPr>
            </w:pPr>
            <w:r>
              <w:rPr>
                <w:rFonts w:hint="eastAsia"/>
                <w:color w:val="auto"/>
              </w:rPr>
              <w:t>研磨废气：经9#脉冲式布袋除尘器</w:t>
            </w:r>
            <w:r>
              <w:rPr>
                <w:rFonts w:hint="eastAsia"/>
                <w:color w:val="auto"/>
                <w:lang w:eastAsia="zh-CN"/>
              </w:rPr>
              <w:t>（</w:t>
            </w:r>
            <w:r>
              <w:rPr>
                <w:rFonts w:hint="eastAsia"/>
                <w:color w:val="auto"/>
              </w:rPr>
              <w:t>风量5000m</w:t>
            </w:r>
            <w:r>
              <w:rPr>
                <w:rFonts w:hint="eastAsia"/>
                <w:color w:val="auto"/>
                <w:vertAlign w:val="superscript"/>
              </w:rPr>
              <w:t>3</w:t>
            </w:r>
            <w:r>
              <w:rPr>
                <w:rFonts w:hint="eastAsia"/>
                <w:color w:val="auto"/>
              </w:rPr>
              <w:t>/h</w:t>
            </w:r>
            <w:r>
              <w:rPr>
                <w:rFonts w:hint="eastAsia"/>
                <w:color w:val="auto"/>
                <w:lang w:eastAsia="zh-CN"/>
              </w:rPr>
              <w:t>）</w:t>
            </w:r>
            <w:r>
              <w:rPr>
                <w:rFonts w:hint="eastAsia"/>
                <w:color w:val="auto"/>
              </w:rPr>
              <w:t>处理后，经由15m高排气筒</w:t>
            </w:r>
            <w:r>
              <w:rPr>
                <w:rFonts w:hint="eastAsia"/>
                <w:color w:val="auto"/>
                <w:lang w:eastAsia="zh-CN"/>
              </w:rPr>
              <w:t>（</w:t>
            </w:r>
            <w:r>
              <w:rPr>
                <w:rFonts w:hint="eastAsia"/>
                <w:color w:val="auto"/>
                <w:lang w:val="en-US" w:eastAsia="zh-CN"/>
              </w:rPr>
              <w:t>DA003</w:t>
            </w:r>
            <w:r>
              <w:rPr>
                <w:rFonts w:hint="eastAsia"/>
                <w:color w:val="auto"/>
                <w:lang w:eastAsia="zh-CN"/>
              </w:rPr>
              <w:t>）</w:t>
            </w:r>
            <w:r>
              <w:rPr>
                <w:rFonts w:hint="eastAsia"/>
                <w:color w:val="auto"/>
              </w:rPr>
              <w:t>排放。</w:t>
            </w:r>
          </w:p>
        </w:tc>
        <w:tc>
          <w:tcPr>
            <w:tcW w:w="559" w:type="pct"/>
            <w:tcBorders>
              <w:left w:val="single" w:color="auto" w:sz="4" w:space="0"/>
            </w:tcBorders>
            <w:vAlign w:val="center"/>
          </w:tcPr>
          <w:p w14:paraId="0F505226">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5C71B935">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5861C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5E01E5B0">
            <w:pPr>
              <w:wordWrap w:val="0"/>
              <w:adjustRightInd w:val="0"/>
              <w:snapToGrid w:val="0"/>
              <w:jc w:val="center"/>
              <w:rPr>
                <w:rFonts w:eastAsia="宋体"/>
                <w:snapToGrid w:val="0"/>
                <w:color w:val="auto"/>
                <w:szCs w:val="21"/>
              </w:rPr>
            </w:pPr>
          </w:p>
        </w:tc>
        <w:tc>
          <w:tcPr>
            <w:tcW w:w="364" w:type="pct"/>
            <w:vMerge w:val="continue"/>
            <w:vAlign w:val="center"/>
          </w:tcPr>
          <w:p w14:paraId="69A58352">
            <w:pPr>
              <w:wordWrap w:val="0"/>
              <w:adjustRightInd w:val="0"/>
              <w:snapToGrid w:val="0"/>
              <w:jc w:val="center"/>
              <w:rPr>
                <w:rFonts w:eastAsia="宋体"/>
                <w:snapToGrid w:val="0"/>
                <w:color w:val="auto"/>
                <w:szCs w:val="21"/>
              </w:rPr>
            </w:pPr>
          </w:p>
        </w:tc>
        <w:tc>
          <w:tcPr>
            <w:tcW w:w="1717" w:type="pct"/>
            <w:gridSpan w:val="2"/>
            <w:vAlign w:val="center"/>
          </w:tcPr>
          <w:p w14:paraId="1D46277C">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18C87A86">
            <w:pPr>
              <w:pStyle w:val="35"/>
              <w:wordWrap w:val="0"/>
              <w:jc w:val="left"/>
              <w:rPr>
                <w:snapToGrid w:val="0"/>
                <w:color w:val="auto"/>
              </w:rPr>
            </w:pPr>
            <w:r>
              <w:rPr>
                <w:rFonts w:hint="eastAsia"/>
                <w:color w:val="auto"/>
              </w:rPr>
              <w:t>输送提升废气：经4个集气罩收集后，经由10#布袋式除尘器</w:t>
            </w:r>
            <w:r>
              <w:rPr>
                <w:rFonts w:hint="eastAsia"/>
                <w:color w:val="auto"/>
                <w:lang w:eastAsia="zh-CN"/>
              </w:rPr>
              <w:t>（</w:t>
            </w:r>
            <w:r>
              <w:rPr>
                <w:rFonts w:hint="eastAsia"/>
                <w:color w:val="auto"/>
              </w:rPr>
              <w:t>风量11000m</w:t>
            </w:r>
            <w:r>
              <w:rPr>
                <w:rFonts w:hint="eastAsia"/>
                <w:color w:val="auto"/>
                <w:vertAlign w:val="superscript"/>
              </w:rPr>
              <w:t>3</w:t>
            </w:r>
            <w:r>
              <w:rPr>
                <w:rFonts w:hint="eastAsia"/>
                <w:color w:val="auto"/>
              </w:rPr>
              <w:t>/h</w:t>
            </w:r>
            <w:r>
              <w:rPr>
                <w:rFonts w:hint="eastAsia"/>
                <w:color w:val="auto"/>
                <w:lang w:eastAsia="zh-CN"/>
              </w:rPr>
              <w:t>）</w:t>
            </w:r>
            <w:r>
              <w:rPr>
                <w:rFonts w:hint="eastAsia"/>
                <w:color w:val="auto"/>
              </w:rPr>
              <w:t>处理后，经由15m高排气筒</w:t>
            </w:r>
            <w:r>
              <w:rPr>
                <w:rFonts w:hint="eastAsia"/>
                <w:color w:val="auto"/>
                <w:lang w:eastAsia="zh-CN"/>
              </w:rPr>
              <w:t>（</w:t>
            </w:r>
            <w:r>
              <w:rPr>
                <w:rFonts w:hint="eastAsia"/>
                <w:color w:val="auto"/>
                <w:lang w:val="en-US" w:eastAsia="zh-CN"/>
              </w:rPr>
              <w:t>DA003</w:t>
            </w:r>
            <w:r>
              <w:rPr>
                <w:rFonts w:hint="eastAsia"/>
                <w:color w:val="auto"/>
                <w:lang w:eastAsia="zh-CN"/>
              </w:rPr>
              <w:t>）</w:t>
            </w:r>
            <w:r>
              <w:rPr>
                <w:rFonts w:hint="eastAsia"/>
                <w:color w:val="auto"/>
              </w:rPr>
              <w:t>排放。</w:t>
            </w:r>
          </w:p>
        </w:tc>
        <w:tc>
          <w:tcPr>
            <w:tcW w:w="559" w:type="pct"/>
            <w:tcBorders>
              <w:left w:val="single" w:color="auto" w:sz="4" w:space="0"/>
            </w:tcBorders>
            <w:vAlign w:val="center"/>
          </w:tcPr>
          <w:p w14:paraId="1F4854C2">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4E7052F4">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2FFC76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575EB980">
            <w:pPr>
              <w:wordWrap w:val="0"/>
              <w:adjustRightInd w:val="0"/>
              <w:snapToGrid w:val="0"/>
              <w:jc w:val="center"/>
              <w:rPr>
                <w:rFonts w:eastAsia="宋体"/>
                <w:snapToGrid w:val="0"/>
                <w:color w:val="auto"/>
                <w:szCs w:val="21"/>
              </w:rPr>
            </w:pPr>
          </w:p>
        </w:tc>
        <w:tc>
          <w:tcPr>
            <w:tcW w:w="364" w:type="pct"/>
            <w:vMerge w:val="continue"/>
            <w:vAlign w:val="center"/>
          </w:tcPr>
          <w:p w14:paraId="12BBB916">
            <w:pPr>
              <w:wordWrap w:val="0"/>
              <w:adjustRightInd w:val="0"/>
              <w:snapToGrid w:val="0"/>
              <w:jc w:val="center"/>
              <w:rPr>
                <w:rFonts w:eastAsia="宋体"/>
                <w:snapToGrid w:val="0"/>
                <w:color w:val="auto"/>
                <w:szCs w:val="21"/>
              </w:rPr>
            </w:pPr>
          </w:p>
        </w:tc>
        <w:tc>
          <w:tcPr>
            <w:tcW w:w="1717" w:type="pct"/>
            <w:gridSpan w:val="2"/>
            <w:vAlign w:val="center"/>
          </w:tcPr>
          <w:p w14:paraId="1FA13A66">
            <w:pPr>
              <w:adjustRightInd w:val="0"/>
              <w:snapToGrid w:val="0"/>
              <w:jc w:val="center"/>
              <w:rPr>
                <w:rFonts w:eastAsia="宋体"/>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73D0986C">
            <w:pPr>
              <w:pStyle w:val="35"/>
              <w:wordWrap w:val="0"/>
              <w:jc w:val="left"/>
              <w:rPr>
                <w:snapToGrid w:val="0"/>
                <w:color w:val="auto"/>
              </w:rPr>
            </w:pPr>
            <w:r>
              <w:rPr>
                <w:color w:val="auto"/>
              </w:rPr>
              <w:t>食堂油烟：油烟经集气罩收集并送至油烟净化器净化后通过排烟风管送至屋顶排放。</w:t>
            </w:r>
          </w:p>
        </w:tc>
        <w:tc>
          <w:tcPr>
            <w:tcW w:w="559" w:type="pct"/>
            <w:tcBorders>
              <w:left w:val="single" w:color="auto" w:sz="4" w:space="0"/>
            </w:tcBorders>
            <w:vAlign w:val="center"/>
          </w:tcPr>
          <w:p w14:paraId="7DC92364">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2A77644B">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1844C1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6909CCC2">
            <w:pPr>
              <w:wordWrap w:val="0"/>
              <w:adjustRightInd w:val="0"/>
              <w:snapToGrid w:val="0"/>
              <w:jc w:val="center"/>
              <w:rPr>
                <w:rFonts w:eastAsia="宋体"/>
                <w:snapToGrid w:val="0"/>
                <w:color w:val="auto"/>
                <w:szCs w:val="21"/>
              </w:rPr>
            </w:pPr>
          </w:p>
        </w:tc>
        <w:tc>
          <w:tcPr>
            <w:tcW w:w="364" w:type="pct"/>
            <w:vMerge w:val="restart"/>
            <w:vAlign w:val="center"/>
          </w:tcPr>
          <w:p w14:paraId="7E8FD0BF">
            <w:pPr>
              <w:wordWrap w:val="0"/>
              <w:adjustRightInd w:val="0"/>
              <w:snapToGrid w:val="0"/>
              <w:jc w:val="center"/>
              <w:rPr>
                <w:rFonts w:eastAsia="宋体"/>
                <w:snapToGrid w:val="0"/>
                <w:color w:val="auto"/>
                <w:szCs w:val="21"/>
              </w:rPr>
            </w:pPr>
            <w:r>
              <w:rPr>
                <w:rFonts w:eastAsia="宋体"/>
                <w:snapToGrid w:val="0"/>
                <w:color w:val="auto"/>
                <w:szCs w:val="21"/>
              </w:rPr>
              <w:t>废水处理</w:t>
            </w:r>
          </w:p>
        </w:tc>
        <w:tc>
          <w:tcPr>
            <w:tcW w:w="1717" w:type="pct"/>
            <w:gridSpan w:val="2"/>
            <w:vAlign w:val="center"/>
          </w:tcPr>
          <w:p w14:paraId="35609A0C">
            <w:pPr>
              <w:pStyle w:val="36"/>
              <w:wordWrap w:val="0"/>
              <w:jc w:val="left"/>
              <w:rPr>
                <w:color w:val="auto"/>
                <w:sz w:val="21"/>
                <w:szCs w:val="21"/>
              </w:rPr>
            </w:pPr>
            <w:r>
              <w:rPr>
                <w:color w:val="auto"/>
                <w:sz w:val="21"/>
                <w:szCs w:val="21"/>
              </w:rPr>
              <w:t>生活废水经化粪池（30m</w:t>
            </w:r>
            <w:r>
              <w:rPr>
                <w:color w:val="auto"/>
                <w:sz w:val="21"/>
                <w:szCs w:val="21"/>
                <w:vertAlign w:val="superscript"/>
              </w:rPr>
              <w:t>3</w:t>
            </w:r>
            <w:r>
              <w:rPr>
                <w:color w:val="auto"/>
                <w:sz w:val="21"/>
                <w:szCs w:val="21"/>
              </w:rPr>
              <w:t>/d）处理后用作周边玉米、番薯地施肥浇灌，不外排。</w:t>
            </w:r>
          </w:p>
        </w:tc>
        <w:tc>
          <w:tcPr>
            <w:tcW w:w="1561" w:type="pct"/>
            <w:gridSpan w:val="2"/>
            <w:tcBorders>
              <w:right w:val="single" w:color="auto" w:sz="4" w:space="0"/>
            </w:tcBorders>
            <w:vAlign w:val="center"/>
          </w:tcPr>
          <w:p w14:paraId="518B6E75">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621D4986">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71CA725D">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0541F7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1FC7E45E">
            <w:pPr>
              <w:wordWrap w:val="0"/>
              <w:adjustRightInd w:val="0"/>
              <w:snapToGrid w:val="0"/>
              <w:jc w:val="center"/>
              <w:rPr>
                <w:rFonts w:eastAsia="宋体"/>
                <w:snapToGrid w:val="0"/>
                <w:color w:val="auto"/>
                <w:szCs w:val="21"/>
              </w:rPr>
            </w:pPr>
          </w:p>
        </w:tc>
        <w:tc>
          <w:tcPr>
            <w:tcW w:w="364" w:type="pct"/>
            <w:vMerge w:val="continue"/>
            <w:vAlign w:val="center"/>
          </w:tcPr>
          <w:p w14:paraId="57871D82">
            <w:pPr>
              <w:wordWrap w:val="0"/>
              <w:adjustRightInd w:val="0"/>
              <w:snapToGrid w:val="0"/>
              <w:jc w:val="center"/>
              <w:rPr>
                <w:rFonts w:eastAsia="宋体"/>
                <w:snapToGrid w:val="0"/>
                <w:color w:val="auto"/>
                <w:szCs w:val="21"/>
              </w:rPr>
            </w:pPr>
          </w:p>
        </w:tc>
        <w:tc>
          <w:tcPr>
            <w:tcW w:w="1717" w:type="pct"/>
            <w:gridSpan w:val="2"/>
            <w:vAlign w:val="center"/>
          </w:tcPr>
          <w:p w14:paraId="41EA30EA">
            <w:pPr>
              <w:pStyle w:val="36"/>
              <w:wordWrap w:val="0"/>
              <w:jc w:val="left"/>
              <w:rPr>
                <w:color w:val="auto"/>
                <w:sz w:val="21"/>
                <w:szCs w:val="21"/>
              </w:rPr>
            </w:pPr>
            <w:r>
              <w:rPr>
                <w:color w:val="auto"/>
                <w:sz w:val="21"/>
                <w:szCs w:val="21"/>
              </w:rPr>
              <w:t>脱硫装置废水经沉淀池（20m</w:t>
            </w:r>
            <w:r>
              <w:rPr>
                <w:color w:val="auto"/>
                <w:sz w:val="21"/>
                <w:szCs w:val="21"/>
                <w:vertAlign w:val="superscript"/>
              </w:rPr>
              <w:t>3</w:t>
            </w:r>
            <w:r>
              <w:rPr>
                <w:color w:val="auto"/>
                <w:sz w:val="21"/>
                <w:szCs w:val="21"/>
              </w:rPr>
              <w:t>/d）沉淀后回用不外排。</w:t>
            </w:r>
          </w:p>
        </w:tc>
        <w:tc>
          <w:tcPr>
            <w:tcW w:w="1561" w:type="pct"/>
            <w:gridSpan w:val="2"/>
            <w:tcBorders>
              <w:right w:val="single" w:color="auto" w:sz="4" w:space="0"/>
            </w:tcBorders>
            <w:vAlign w:val="center"/>
          </w:tcPr>
          <w:p w14:paraId="3AE054D2">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65BE9F10">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5BDA5AD0">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3C3E0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3EC5A270">
            <w:pPr>
              <w:wordWrap w:val="0"/>
              <w:adjustRightInd w:val="0"/>
              <w:snapToGrid w:val="0"/>
              <w:jc w:val="center"/>
              <w:rPr>
                <w:rFonts w:eastAsia="宋体"/>
                <w:snapToGrid w:val="0"/>
                <w:color w:val="auto"/>
                <w:szCs w:val="21"/>
              </w:rPr>
            </w:pPr>
          </w:p>
        </w:tc>
        <w:tc>
          <w:tcPr>
            <w:tcW w:w="364" w:type="pct"/>
            <w:vMerge w:val="continue"/>
            <w:vAlign w:val="center"/>
          </w:tcPr>
          <w:p w14:paraId="152C22F9">
            <w:pPr>
              <w:wordWrap w:val="0"/>
              <w:adjustRightInd w:val="0"/>
              <w:snapToGrid w:val="0"/>
              <w:jc w:val="center"/>
              <w:rPr>
                <w:rFonts w:eastAsia="宋体"/>
                <w:snapToGrid w:val="0"/>
                <w:color w:val="auto"/>
                <w:szCs w:val="21"/>
              </w:rPr>
            </w:pPr>
          </w:p>
        </w:tc>
        <w:tc>
          <w:tcPr>
            <w:tcW w:w="1717" w:type="pct"/>
            <w:gridSpan w:val="2"/>
            <w:vAlign w:val="center"/>
          </w:tcPr>
          <w:p w14:paraId="70A99828">
            <w:pPr>
              <w:adjustRightInd w:val="0"/>
              <w:snapToGrid w:val="0"/>
              <w:jc w:val="center"/>
              <w:rPr>
                <w:color w:val="auto"/>
                <w:szCs w:val="21"/>
              </w:rPr>
            </w:pPr>
            <w:r>
              <w:rPr>
                <w:rFonts w:eastAsia="宋体"/>
                <w:snapToGrid w:val="0"/>
                <w:color w:val="auto"/>
                <w:szCs w:val="21"/>
              </w:rPr>
              <w:t>无</w:t>
            </w:r>
          </w:p>
        </w:tc>
        <w:tc>
          <w:tcPr>
            <w:tcW w:w="1561" w:type="pct"/>
            <w:gridSpan w:val="2"/>
            <w:tcBorders>
              <w:right w:val="single" w:color="auto" w:sz="4" w:space="0"/>
            </w:tcBorders>
            <w:vAlign w:val="center"/>
          </w:tcPr>
          <w:p w14:paraId="61CE5422">
            <w:pPr>
              <w:wordWrap w:val="0"/>
              <w:adjustRightInd w:val="0"/>
              <w:snapToGrid w:val="0"/>
              <w:jc w:val="left"/>
              <w:rPr>
                <w:rFonts w:eastAsia="宋体"/>
                <w:snapToGrid w:val="0"/>
                <w:color w:val="auto"/>
                <w:szCs w:val="21"/>
              </w:rPr>
            </w:pPr>
            <w:r>
              <w:rPr>
                <w:rFonts w:eastAsia="宋体"/>
                <w:snapToGrid w:val="0"/>
                <w:color w:val="auto"/>
                <w:szCs w:val="21"/>
              </w:rPr>
              <w:t>场地冲洗废水和设备清洗废水经集水池沉淀后回用于生产，不外排。</w:t>
            </w:r>
          </w:p>
        </w:tc>
        <w:tc>
          <w:tcPr>
            <w:tcW w:w="559" w:type="pct"/>
            <w:tcBorders>
              <w:left w:val="single" w:color="auto" w:sz="4" w:space="0"/>
            </w:tcBorders>
            <w:vAlign w:val="center"/>
          </w:tcPr>
          <w:p w14:paraId="53B143E2">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6249C89C">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1A1917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165D9164">
            <w:pPr>
              <w:wordWrap w:val="0"/>
              <w:adjustRightInd w:val="0"/>
              <w:snapToGrid w:val="0"/>
              <w:jc w:val="center"/>
              <w:rPr>
                <w:rFonts w:eastAsia="宋体"/>
                <w:snapToGrid w:val="0"/>
                <w:color w:val="auto"/>
                <w:szCs w:val="21"/>
              </w:rPr>
            </w:pPr>
          </w:p>
        </w:tc>
        <w:tc>
          <w:tcPr>
            <w:tcW w:w="364" w:type="pct"/>
            <w:vMerge w:val="continue"/>
            <w:vAlign w:val="center"/>
          </w:tcPr>
          <w:p w14:paraId="3BEE2E61">
            <w:pPr>
              <w:wordWrap w:val="0"/>
              <w:adjustRightInd w:val="0"/>
              <w:snapToGrid w:val="0"/>
              <w:jc w:val="center"/>
              <w:rPr>
                <w:rFonts w:eastAsia="宋体"/>
                <w:snapToGrid w:val="0"/>
                <w:color w:val="auto"/>
                <w:szCs w:val="21"/>
              </w:rPr>
            </w:pPr>
          </w:p>
        </w:tc>
        <w:tc>
          <w:tcPr>
            <w:tcW w:w="1717" w:type="pct"/>
            <w:gridSpan w:val="2"/>
            <w:vAlign w:val="center"/>
          </w:tcPr>
          <w:p w14:paraId="0275E0F4">
            <w:pPr>
              <w:pStyle w:val="36"/>
              <w:wordWrap w:val="0"/>
              <w:jc w:val="left"/>
              <w:rPr>
                <w:color w:val="auto"/>
                <w:sz w:val="21"/>
                <w:szCs w:val="21"/>
              </w:rPr>
            </w:pPr>
            <w:r>
              <w:rPr>
                <w:color w:val="auto"/>
                <w:sz w:val="21"/>
                <w:szCs w:val="21"/>
              </w:rPr>
              <w:t>原项目进出车辆冲洗，依托重庆市江南矿业有限公司现有车辆冲洗设施进行。原项目租用江南矿业有限公司采矿区内场地，因此，在项目运营期间，进出项目的车辆将统一利用江南矿业在其矿区公路与乡道交汇处设置的车辆冲洗平台，对车辆轮胎进行冲洗。该冲洗平台配备有4m³简易隔油沉淀池，冲洗废水经沉淀处理后循环使用，不外排。此部分车辆冲洗用水及相关设施的运行、管理均由江南矿业有限公司负责。本项目车辆冲洗用水不单独计量，也不产生额外的冲洗废水外排。</w:t>
            </w:r>
          </w:p>
        </w:tc>
        <w:tc>
          <w:tcPr>
            <w:tcW w:w="1561" w:type="pct"/>
            <w:gridSpan w:val="2"/>
            <w:tcBorders>
              <w:right w:val="single" w:color="auto" w:sz="4" w:space="0"/>
            </w:tcBorders>
            <w:vAlign w:val="center"/>
          </w:tcPr>
          <w:p w14:paraId="47364017">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0185BA5F">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362CEA97">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506761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30B1FC02">
            <w:pPr>
              <w:wordWrap w:val="0"/>
              <w:adjustRightInd w:val="0"/>
              <w:snapToGrid w:val="0"/>
              <w:jc w:val="center"/>
              <w:rPr>
                <w:rFonts w:eastAsia="宋体"/>
                <w:snapToGrid w:val="0"/>
                <w:color w:val="auto"/>
                <w:szCs w:val="21"/>
              </w:rPr>
            </w:pPr>
          </w:p>
        </w:tc>
        <w:tc>
          <w:tcPr>
            <w:tcW w:w="364" w:type="pct"/>
            <w:vMerge w:val="continue"/>
            <w:vAlign w:val="center"/>
          </w:tcPr>
          <w:p w14:paraId="2E51DEDE">
            <w:pPr>
              <w:wordWrap w:val="0"/>
              <w:adjustRightInd w:val="0"/>
              <w:snapToGrid w:val="0"/>
              <w:jc w:val="center"/>
              <w:rPr>
                <w:rFonts w:eastAsia="宋体"/>
                <w:snapToGrid w:val="0"/>
                <w:color w:val="auto"/>
                <w:szCs w:val="21"/>
              </w:rPr>
            </w:pPr>
          </w:p>
        </w:tc>
        <w:tc>
          <w:tcPr>
            <w:tcW w:w="1717" w:type="pct"/>
            <w:gridSpan w:val="2"/>
            <w:vAlign w:val="center"/>
          </w:tcPr>
          <w:p w14:paraId="5E4A664F">
            <w:pPr>
              <w:pStyle w:val="36"/>
              <w:wordWrap w:val="0"/>
              <w:jc w:val="left"/>
              <w:rPr>
                <w:color w:val="auto"/>
                <w:sz w:val="21"/>
                <w:szCs w:val="21"/>
              </w:rPr>
            </w:pPr>
            <w:r>
              <w:rPr>
                <w:color w:val="auto"/>
                <w:sz w:val="21"/>
                <w:szCs w:val="21"/>
              </w:rPr>
              <w:t>原项目在运营中，全面依托重庆市江南矿业有限公司现有的雨水径流控制和处理系统。原项目利用江南矿业在采矿区上游设置的截洪沟来阻止外来雨水进入项目作业区，通过现有排水沟系统收集项目区内的雨水，并将其初期径流导入江南矿业已建的雨水沉砂池进行沉淀处理。处理后的初期雨水将循环用于江南矿区及场内运输道路的洒水降尘，实现零外排。后期雨水则通过既有截水沟安全导出场区。所有雨水设施的所有权、运行和管理均归属于江南矿业有限公司，原项目不新建独立设施，也不新增任何雨水外排。</w:t>
            </w:r>
          </w:p>
        </w:tc>
        <w:tc>
          <w:tcPr>
            <w:tcW w:w="1561" w:type="pct"/>
            <w:gridSpan w:val="2"/>
            <w:tcBorders>
              <w:right w:val="single" w:color="auto" w:sz="4" w:space="0"/>
            </w:tcBorders>
            <w:vAlign w:val="center"/>
          </w:tcPr>
          <w:p w14:paraId="04C45EBC">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05430785">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6228A65B">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2E432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7CEFC050">
            <w:pPr>
              <w:wordWrap w:val="0"/>
              <w:adjustRightInd w:val="0"/>
              <w:snapToGrid w:val="0"/>
              <w:jc w:val="center"/>
              <w:rPr>
                <w:rFonts w:eastAsia="宋体"/>
                <w:snapToGrid w:val="0"/>
                <w:color w:val="auto"/>
                <w:szCs w:val="21"/>
              </w:rPr>
            </w:pPr>
          </w:p>
        </w:tc>
        <w:tc>
          <w:tcPr>
            <w:tcW w:w="364" w:type="pct"/>
            <w:vAlign w:val="center"/>
          </w:tcPr>
          <w:p w14:paraId="321777F8">
            <w:pPr>
              <w:wordWrap w:val="0"/>
              <w:adjustRightInd w:val="0"/>
              <w:snapToGrid w:val="0"/>
              <w:jc w:val="center"/>
              <w:rPr>
                <w:rFonts w:eastAsia="宋体"/>
                <w:snapToGrid w:val="0"/>
                <w:color w:val="auto"/>
                <w:szCs w:val="21"/>
              </w:rPr>
            </w:pPr>
            <w:r>
              <w:rPr>
                <w:rFonts w:eastAsia="宋体"/>
                <w:snapToGrid w:val="0"/>
                <w:color w:val="auto"/>
                <w:szCs w:val="21"/>
              </w:rPr>
              <w:t>噪声防治</w:t>
            </w:r>
          </w:p>
        </w:tc>
        <w:tc>
          <w:tcPr>
            <w:tcW w:w="1717" w:type="pct"/>
            <w:gridSpan w:val="2"/>
            <w:vAlign w:val="center"/>
          </w:tcPr>
          <w:p w14:paraId="11BEC437">
            <w:pPr>
              <w:adjustRightInd w:val="0"/>
              <w:snapToGrid w:val="0"/>
              <w:jc w:val="left"/>
              <w:rPr>
                <w:rFonts w:eastAsia="宋体"/>
                <w:color w:val="auto"/>
                <w:szCs w:val="21"/>
              </w:rPr>
            </w:pPr>
            <w:r>
              <w:rPr>
                <w:rFonts w:eastAsia="宋体"/>
                <w:color w:val="auto"/>
                <w:szCs w:val="21"/>
              </w:rPr>
              <w:t>采取墙体隔声、基础减振、消声等隔声降噪措施。</w:t>
            </w:r>
          </w:p>
        </w:tc>
        <w:tc>
          <w:tcPr>
            <w:tcW w:w="1561" w:type="pct"/>
            <w:gridSpan w:val="2"/>
            <w:tcBorders>
              <w:right w:val="single" w:color="auto" w:sz="4" w:space="0"/>
            </w:tcBorders>
            <w:vAlign w:val="center"/>
          </w:tcPr>
          <w:p w14:paraId="060C3222">
            <w:pPr>
              <w:wordWrap w:val="0"/>
              <w:adjustRightInd w:val="0"/>
              <w:snapToGrid w:val="0"/>
              <w:jc w:val="left"/>
              <w:rPr>
                <w:rFonts w:eastAsia="宋体"/>
                <w:snapToGrid w:val="0"/>
                <w:color w:val="auto"/>
                <w:szCs w:val="21"/>
              </w:rPr>
            </w:pPr>
            <w:r>
              <w:rPr>
                <w:rFonts w:eastAsia="宋体"/>
                <w:snapToGrid w:val="0"/>
                <w:color w:val="auto"/>
                <w:szCs w:val="21"/>
              </w:rPr>
              <w:t>技改前后新增设备同样</w:t>
            </w:r>
            <w:r>
              <w:rPr>
                <w:rFonts w:eastAsia="宋体"/>
                <w:color w:val="auto"/>
                <w:szCs w:val="21"/>
              </w:rPr>
              <w:t>采取墙体隔声、基础减振、消声等隔声降噪措施</w:t>
            </w:r>
          </w:p>
        </w:tc>
        <w:tc>
          <w:tcPr>
            <w:tcW w:w="559" w:type="pct"/>
            <w:tcBorders>
              <w:left w:val="single" w:color="auto" w:sz="4" w:space="0"/>
            </w:tcBorders>
            <w:vAlign w:val="center"/>
          </w:tcPr>
          <w:p w14:paraId="7650B7C3">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1380094E">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59DA03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2C4C406F">
            <w:pPr>
              <w:wordWrap w:val="0"/>
              <w:adjustRightInd w:val="0"/>
              <w:snapToGrid w:val="0"/>
              <w:jc w:val="center"/>
              <w:rPr>
                <w:rFonts w:eastAsia="宋体"/>
                <w:snapToGrid w:val="0"/>
                <w:color w:val="auto"/>
                <w:szCs w:val="21"/>
              </w:rPr>
            </w:pPr>
          </w:p>
        </w:tc>
        <w:tc>
          <w:tcPr>
            <w:tcW w:w="364" w:type="pct"/>
            <w:vMerge w:val="restart"/>
            <w:vAlign w:val="center"/>
          </w:tcPr>
          <w:p w14:paraId="5636FDB9">
            <w:pPr>
              <w:wordWrap w:val="0"/>
              <w:adjustRightInd w:val="0"/>
              <w:snapToGrid w:val="0"/>
              <w:jc w:val="center"/>
              <w:rPr>
                <w:rFonts w:eastAsia="宋体"/>
                <w:snapToGrid w:val="0"/>
                <w:color w:val="auto"/>
                <w:szCs w:val="21"/>
              </w:rPr>
            </w:pPr>
            <w:r>
              <w:rPr>
                <w:rFonts w:eastAsia="宋体"/>
                <w:snapToGrid w:val="0"/>
                <w:color w:val="auto"/>
                <w:szCs w:val="21"/>
              </w:rPr>
              <w:t>固体废物</w:t>
            </w:r>
          </w:p>
        </w:tc>
        <w:tc>
          <w:tcPr>
            <w:tcW w:w="1717" w:type="pct"/>
            <w:gridSpan w:val="2"/>
            <w:vAlign w:val="center"/>
          </w:tcPr>
          <w:p w14:paraId="695EA0EE">
            <w:pPr>
              <w:pStyle w:val="35"/>
              <w:wordWrap w:val="0"/>
              <w:jc w:val="left"/>
              <w:rPr>
                <w:color w:val="auto"/>
              </w:rPr>
            </w:pPr>
            <w:r>
              <w:rPr>
                <w:color w:val="auto"/>
              </w:rPr>
              <w:t>生活垃圾交由环卫部门处置。</w:t>
            </w:r>
          </w:p>
        </w:tc>
        <w:tc>
          <w:tcPr>
            <w:tcW w:w="1561" w:type="pct"/>
            <w:gridSpan w:val="2"/>
            <w:tcBorders>
              <w:right w:val="single" w:color="auto" w:sz="4" w:space="0"/>
            </w:tcBorders>
            <w:vAlign w:val="center"/>
          </w:tcPr>
          <w:p w14:paraId="72CD07EB">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237FB442">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015BBA20">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3796C0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53A589AC">
            <w:pPr>
              <w:wordWrap w:val="0"/>
              <w:adjustRightInd w:val="0"/>
              <w:snapToGrid w:val="0"/>
              <w:jc w:val="center"/>
              <w:rPr>
                <w:rFonts w:eastAsia="宋体"/>
                <w:snapToGrid w:val="0"/>
                <w:color w:val="auto"/>
                <w:szCs w:val="21"/>
              </w:rPr>
            </w:pPr>
          </w:p>
        </w:tc>
        <w:tc>
          <w:tcPr>
            <w:tcW w:w="364" w:type="pct"/>
            <w:vMerge w:val="continue"/>
            <w:vAlign w:val="center"/>
          </w:tcPr>
          <w:p w14:paraId="77E14E87">
            <w:pPr>
              <w:wordWrap w:val="0"/>
              <w:adjustRightInd w:val="0"/>
              <w:snapToGrid w:val="0"/>
              <w:jc w:val="center"/>
              <w:rPr>
                <w:rFonts w:eastAsia="宋体"/>
                <w:snapToGrid w:val="0"/>
                <w:color w:val="auto"/>
                <w:szCs w:val="21"/>
              </w:rPr>
            </w:pPr>
          </w:p>
        </w:tc>
        <w:tc>
          <w:tcPr>
            <w:tcW w:w="1717" w:type="pct"/>
            <w:gridSpan w:val="2"/>
            <w:vAlign w:val="center"/>
          </w:tcPr>
          <w:p w14:paraId="738ED4C3">
            <w:pPr>
              <w:pStyle w:val="35"/>
              <w:wordWrap w:val="0"/>
              <w:jc w:val="left"/>
              <w:rPr>
                <w:color w:val="auto"/>
              </w:rPr>
            </w:pPr>
            <w:r>
              <w:rPr>
                <w:color w:val="auto"/>
              </w:rPr>
              <w:t>煅烧的窑渣、石灰石废渣、煤渣、脱硫装置沉淀池沉渣定期清掏后，外售综合利用。不在厂区内贮存。</w:t>
            </w:r>
          </w:p>
        </w:tc>
        <w:tc>
          <w:tcPr>
            <w:tcW w:w="1561" w:type="pct"/>
            <w:gridSpan w:val="2"/>
            <w:tcBorders>
              <w:right w:val="single" w:color="auto" w:sz="4" w:space="0"/>
            </w:tcBorders>
            <w:vAlign w:val="center"/>
          </w:tcPr>
          <w:p w14:paraId="21041CE4">
            <w:pPr>
              <w:wordWrap w:val="0"/>
              <w:adjustRightInd w:val="0"/>
              <w:snapToGrid w:val="0"/>
              <w:jc w:val="center"/>
              <w:rPr>
                <w:rFonts w:eastAsia="宋体"/>
                <w:snapToGrid w:val="0"/>
                <w:color w:val="auto"/>
                <w:szCs w:val="21"/>
              </w:rPr>
            </w:pPr>
            <w:r>
              <w:rPr>
                <w:rFonts w:eastAsia="宋体"/>
                <w:snapToGrid w:val="0"/>
                <w:color w:val="auto"/>
                <w:szCs w:val="21"/>
              </w:rPr>
              <w:t>同技改前</w:t>
            </w:r>
          </w:p>
        </w:tc>
        <w:tc>
          <w:tcPr>
            <w:tcW w:w="559" w:type="pct"/>
            <w:tcBorders>
              <w:left w:val="single" w:color="auto" w:sz="4" w:space="0"/>
            </w:tcBorders>
            <w:vAlign w:val="center"/>
          </w:tcPr>
          <w:p w14:paraId="0AC8B413">
            <w:pPr>
              <w:wordWrap w:val="0"/>
              <w:adjustRightInd w:val="0"/>
              <w:snapToGrid w:val="0"/>
              <w:jc w:val="center"/>
              <w:rPr>
                <w:rFonts w:eastAsia="宋体"/>
                <w:snapToGrid w:val="0"/>
                <w:color w:val="auto"/>
                <w:szCs w:val="21"/>
              </w:rPr>
            </w:pPr>
            <w:r>
              <w:rPr>
                <w:rFonts w:eastAsia="宋体"/>
                <w:snapToGrid w:val="0"/>
                <w:color w:val="auto"/>
                <w:szCs w:val="21"/>
              </w:rPr>
              <w:t>不变</w:t>
            </w:r>
          </w:p>
        </w:tc>
        <w:tc>
          <w:tcPr>
            <w:tcW w:w="559" w:type="pct"/>
            <w:tcBorders>
              <w:left w:val="single" w:color="auto" w:sz="4" w:space="0"/>
            </w:tcBorders>
            <w:vAlign w:val="center"/>
          </w:tcPr>
          <w:p w14:paraId="53497BFE">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685947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0E076803">
            <w:pPr>
              <w:wordWrap w:val="0"/>
              <w:adjustRightInd w:val="0"/>
              <w:snapToGrid w:val="0"/>
              <w:jc w:val="center"/>
              <w:rPr>
                <w:rFonts w:eastAsia="宋体"/>
                <w:snapToGrid w:val="0"/>
                <w:color w:val="auto"/>
                <w:szCs w:val="21"/>
              </w:rPr>
            </w:pPr>
          </w:p>
        </w:tc>
        <w:tc>
          <w:tcPr>
            <w:tcW w:w="364" w:type="pct"/>
            <w:vMerge w:val="continue"/>
            <w:vAlign w:val="center"/>
          </w:tcPr>
          <w:p w14:paraId="7E892637">
            <w:pPr>
              <w:wordWrap w:val="0"/>
              <w:adjustRightInd w:val="0"/>
              <w:snapToGrid w:val="0"/>
              <w:jc w:val="center"/>
              <w:rPr>
                <w:rFonts w:eastAsia="宋体"/>
                <w:snapToGrid w:val="0"/>
                <w:color w:val="auto"/>
                <w:szCs w:val="21"/>
              </w:rPr>
            </w:pPr>
          </w:p>
        </w:tc>
        <w:tc>
          <w:tcPr>
            <w:tcW w:w="1717" w:type="pct"/>
            <w:gridSpan w:val="2"/>
            <w:vAlign w:val="center"/>
          </w:tcPr>
          <w:p w14:paraId="7FAD761E">
            <w:pPr>
              <w:adjustRightInd w:val="0"/>
              <w:snapToGrid w:val="0"/>
              <w:jc w:val="center"/>
              <w:rPr>
                <w:rFonts w:eastAsia="宋体"/>
                <w:color w:val="auto"/>
                <w:szCs w:val="21"/>
              </w:rPr>
            </w:pPr>
            <w:r>
              <w:rPr>
                <w:rFonts w:eastAsia="宋体"/>
                <w:color w:val="auto"/>
                <w:szCs w:val="21"/>
              </w:rPr>
              <w:t>无</w:t>
            </w:r>
          </w:p>
        </w:tc>
        <w:tc>
          <w:tcPr>
            <w:tcW w:w="1561" w:type="pct"/>
            <w:gridSpan w:val="2"/>
            <w:tcBorders>
              <w:right w:val="single" w:color="auto" w:sz="4" w:space="0"/>
            </w:tcBorders>
            <w:vAlign w:val="center"/>
          </w:tcPr>
          <w:p w14:paraId="52585BCD">
            <w:pPr>
              <w:wordWrap w:val="0"/>
              <w:adjustRightInd w:val="0"/>
              <w:snapToGrid w:val="0"/>
              <w:jc w:val="left"/>
              <w:rPr>
                <w:rFonts w:eastAsia="宋体"/>
                <w:snapToGrid w:val="0"/>
                <w:color w:val="auto"/>
                <w:szCs w:val="21"/>
              </w:rPr>
            </w:pPr>
            <w:r>
              <w:rPr>
                <w:rFonts w:eastAsia="宋体"/>
                <w:snapToGrid w:val="0"/>
                <w:color w:val="auto"/>
                <w:szCs w:val="21"/>
              </w:rPr>
              <w:t>除尘装置收集灰（氧化钙）收集后回用于生产，除尘装置收集灰（氢氧化钙）收集后进入成品仓外售。不在厂区内贮存。</w:t>
            </w:r>
          </w:p>
        </w:tc>
        <w:tc>
          <w:tcPr>
            <w:tcW w:w="559" w:type="pct"/>
            <w:tcBorders>
              <w:left w:val="single" w:color="auto" w:sz="4" w:space="0"/>
            </w:tcBorders>
            <w:vAlign w:val="center"/>
          </w:tcPr>
          <w:p w14:paraId="407C80B7">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058F1C52">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FD3E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65A15921">
            <w:pPr>
              <w:wordWrap w:val="0"/>
              <w:adjustRightInd w:val="0"/>
              <w:snapToGrid w:val="0"/>
              <w:jc w:val="center"/>
              <w:rPr>
                <w:rFonts w:eastAsia="宋体"/>
                <w:snapToGrid w:val="0"/>
                <w:color w:val="auto"/>
                <w:szCs w:val="21"/>
              </w:rPr>
            </w:pPr>
          </w:p>
        </w:tc>
        <w:tc>
          <w:tcPr>
            <w:tcW w:w="364" w:type="pct"/>
            <w:vMerge w:val="continue"/>
            <w:vAlign w:val="center"/>
          </w:tcPr>
          <w:p w14:paraId="4F5A1E72">
            <w:pPr>
              <w:wordWrap w:val="0"/>
              <w:adjustRightInd w:val="0"/>
              <w:snapToGrid w:val="0"/>
              <w:jc w:val="center"/>
              <w:rPr>
                <w:rFonts w:eastAsia="宋体"/>
                <w:snapToGrid w:val="0"/>
                <w:color w:val="auto"/>
                <w:szCs w:val="21"/>
              </w:rPr>
            </w:pPr>
          </w:p>
        </w:tc>
        <w:tc>
          <w:tcPr>
            <w:tcW w:w="1717" w:type="pct"/>
            <w:gridSpan w:val="2"/>
            <w:vAlign w:val="center"/>
          </w:tcPr>
          <w:p w14:paraId="6F8AD8B6">
            <w:pPr>
              <w:adjustRightInd w:val="0"/>
              <w:snapToGrid w:val="0"/>
              <w:jc w:val="center"/>
              <w:rPr>
                <w:rFonts w:eastAsia="宋体"/>
                <w:color w:val="auto"/>
                <w:szCs w:val="21"/>
              </w:rPr>
            </w:pPr>
            <w:r>
              <w:rPr>
                <w:rFonts w:eastAsia="宋体"/>
                <w:color w:val="auto"/>
                <w:szCs w:val="21"/>
              </w:rPr>
              <w:t>无</w:t>
            </w:r>
          </w:p>
        </w:tc>
        <w:tc>
          <w:tcPr>
            <w:tcW w:w="1561" w:type="pct"/>
            <w:gridSpan w:val="2"/>
            <w:tcBorders>
              <w:right w:val="single" w:color="auto" w:sz="4" w:space="0"/>
            </w:tcBorders>
            <w:vAlign w:val="center"/>
          </w:tcPr>
          <w:p w14:paraId="3E792A74">
            <w:pPr>
              <w:wordWrap w:val="0"/>
              <w:adjustRightInd w:val="0"/>
              <w:snapToGrid w:val="0"/>
              <w:jc w:val="left"/>
              <w:rPr>
                <w:rFonts w:eastAsia="宋体"/>
                <w:snapToGrid w:val="0"/>
                <w:color w:val="auto"/>
                <w:szCs w:val="21"/>
              </w:rPr>
            </w:pPr>
            <w:r>
              <w:rPr>
                <w:rFonts w:eastAsia="宋体"/>
                <w:snapToGrid w:val="0"/>
                <w:color w:val="auto"/>
                <w:szCs w:val="21"/>
              </w:rPr>
              <w:t>设置</w:t>
            </w:r>
            <w:r>
              <w:rPr>
                <w:rFonts w:hint="eastAsia" w:eastAsia="宋体"/>
                <w:snapToGrid w:val="0"/>
                <w:color w:val="auto"/>
                <w:szCs w:val="21"/>
                <w:lang w:eastAsia="zh-CN"/>
              </w:rPr>
              <w:t>危险废物贮存点</w:t>
            </w:r>
            <w:r>
              <w:rPr>
                <w:rFonts w:eastAsia="宋体"/>
                <w:snapToGrid w:val="0"/>
                <w:color w:val="auto"/>
                <w:szCs w:val="21"/>
              </w:rPr>
              <w:t>（面积10m</w:t>
            </w:r>
            <w:r>
              <w:rPr>
                <w:rFonts w:eastAsia="宋体"/>
                <w:snapToGrid w:val="0"/>
                <w:color w:val="auto"/>
                <w:szCs w:val="21"/>
                <w:vertAlign w:val="superscript"/>
              </w:rPr>
              <w:t>2</w:t>
            </w:r>
            <w:r>
              <w:rPr>
                <w:rFonts w:eastAsia="宋体"/>
                <w:snapToGrid w:val="0"/>
                <w:color w:val="auto"/>
                <w:szCs w:val="21"/>
              </w:rPr>
              <w:t>）1座，位于食堂北侧空房内，废机油、废机油桶、含油棉纱手套等危险废物经分类收集暂存后交有危废处置资质单位处理，设置标识标牌，对</w:t>
            </w:r>
            <w:r>
              <w:rPr>
                <w:rFonts w:hint="eastAsia" w:eastAsia="宋体"/>
                <w:snapToGrid w:val="0"/>
                <w:color w:val="auto"/>
                <w:szCs w:val="21"/>
                <w:lang w:eastAsia="zh-CN"/>
              </w:rPr>
              <w:t>危险废物贮存点</w:t>
            </w:r>
            <w:r>
              <w:rPr>
                <w:rFonts w:eastAsia="宋体"/>
                <w:snapToGrid w:val="0"/>
                <w:color w:val="auto"/>
                <w:szCs w:val="21"/>
              </w:rPr>
              <w:t>进行重点防渗，采取防风、防晒、防雨、防漏、防渗、防腐措施。</w:t>
            </w:r>
          </w:p>
        </w:tc>
        <w:tc>
          <w:tcPr>
            <w:tcW w:w="559" w:type="pct"/>
            <w:tcBorders>
              <w:left w:val="single" w:color="auto" w:sz="4" w:space="0"/>
            </w:tcBorders>
            <w:vAlign w:val="center"/>
          </w:tcPr>
          <w:p w14:paraId="03EF8BB8">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5FE49B42">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7A11A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7B78F369">
            <w:pPr>
              <w:wordWrap w:val="0"/>
              <w:adjustRightInd w:val="0"/>
              <w:snapToGrid w:val="0"/>
              <w:jc w:val="center"/>
              <w:rPr>
                <w:rFonts w:eastAsia="宋体"/>
                <w:snapToGrid w:val="0"/>
                <w:color w:val="auto"/>
                <w:szCs w:val="21"/>
              </w:rPr>
            </w:pPr>
          </w:p>
        </w:tc>
        <w:tc>
          <w:tcPr>
            <w:tcW w:w="364" w:type="pct"/>
            <w:vAlign w:val="center"/>
          </w:tcPr>
          <w:p w14:paraId="5228F1CF">
            <w:pPr>
              <w:wordWrap w:val="0"/>
              <w:adjustRightInd w:val="0"/>
              <w:snapToGrid w:val="0"/>
              <w:jc w:val="center"/>
              <w:rPr>
                <w:rFonts w:eastAsia="宋体"/>
                <w:snapToGrid w:val="0"/>
                <w:color w:val="auto"/>
                <w:szCs w:val="21"/>
              </w:rPr>
            </w:pPr>
            <w:r>
              <w:rPr>
                <w:rFonts w:eastAsia="宋体"/>
                <w:snapToGrid w:val="0"/>
                <w:color w:val="auto"/>
                <w:szCs w:val="21"/>
              </w:rPr>
              <w:t>分区防渗措施</w:t>
            </w:r>
          </w:p>
        </w:tc>
        <w:tc>
          <w:tcPr>
            <w:tcW w:w="1717" w:type="pct"/>
            <w:gridSpan w:val="2"/>
            <w:vAlign w:val="center"/>
          </w:tcPr>
          <w:p w14:paraId="19158243">
            <w:pPr>
              <w:adjustRightInd w:val="0"/>
              <w:snapToGrid w:val="0"/>
              <w:jc w:val="center"/>
              <w:rPr>
                <w:rFonts w:eastAsia="宋体"/>
                <w:color w:val="auto"/>
                <w:szCs w:val="21"/>
              </w:rPr>
            </w:pPr>
            <w:r>
              <w:rPr>
                <w:rFonts w:eastAsia="宋体"/>
                <w:color w:val="auto"/>
                <w:szCs w:val="21"/>
              </w:rPr>
              <w:t>无</w:t>
            </w:r>
          </w:p>
        </w:tc>
        <w:tc>
          <w:tcPr>
            <w:tcW w:w="1561" w:type="pct"/>
            <w:gridSpan w:val="2"/>
            <w:tcBorders>
              <w:right w:val="single" w:color="auto" w:sz="4" w:space="0"/>
            </w:tcBorders>
            <w:vAlign w:val="center"/>
          </w:tcPr>
          <w:p w14:paraId="319BD12E">
            <w:pPr>
              <w:wordWrap w:val="0"/>
              <w:adjustRightInd w:val="0"/>
              <w:snapToGrid w:val="0"/>
              <w:jc w:val="left"/>
              <w:rPr>
                <w:rFonts w:eastAsia="宋体"/>
                <w:snapToGrid w:val="0"/>
                <w:color w:val="auto"/>
                <w:szCs w:val="21"/>
              </w:rPr>
            </w:pPr>
            <w:r>
              <w:rPr>
                <w:rFonts w:eastAsia="宋体"/>
                <w:snapToGrid w:val="0"/>
                <w:color w:val="auto"/>
                <w:szCs w:val="21"/>
              </w:rPr>
              <w:t>采取分区防渗措施：</w:t>
            </w:r>
            <w:r>
              <w:rPr>
                <w:rFonts w:hint="eastAsia" w:eastAsia="宋体"/>
                <w:snapToGrid w:val="0"/>
                <w:color w:val="auto"/>
                <w:szCs w:val="21"/>
                <w:lang w:eastAsia="zh-CN"/>
              </w:rPr>
              <w:t>危险废物贮存点</w:t>
            </w:r>
            <w:r>
              <w:rPr>
                <w:rFonts w:eastAsia="宋体"/>
                <w:snapToGrid w:val="0"/>
                <w:color w:val="auto"/>
                <w:szCs w:val="21"/>
              </w:rPr>
              <w:t>、原脱硫废水沉淀池，设为重点防渗区，采取重点防渗措施；生产区、集水池设为一般防渗区，采取一般防渗措施；其他区域设为简单防渗区，采用地面硬化。</w:t>
            </w:r>
          </w:p>
        </w:tc>
        <w:tc>
          <w:tcPr>
            <w:tcW w:w="559" w:type="pct"/>
            <w:tcBorders>
              <w:left w:val="single" w:color="auto" w:sz="4" w:space="0"/>
            </w:tcBorders>
            <w:vAlign w:val="center"/>
          </w:tcPr>
          <w:p w14:paraId="0E7F5891">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4D5DB103">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2679E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restart"/>
            <w:vAlign w:val="center"/>
          </w:tcPr>
          <w:p w14:paraId="7C82467E">
            <w:pPr>
              <w:wordWrap w:val="0"/>
              <w:adjustRightInd w:val="0"/>
              <w:snapToGrid w:val="0"/>
              <w:jc w:val="center"/>
              <w:rPr>
                <w:rFonts w:hint="default" w:eastAsia="宋体"/>
                <w:snapToGrid w:val="0"/>
                <w:color w:val="auto"/>
                <w:szCs w:val="21"/>
                <w:lang w:val="en-US" w:eastAsia="zh-CN"/>
              </w:rPr>
            </w:pPr>
            <w:r>
              <w:rPr>
                <w:rFonts w:hint="eastAsia" w:eastAsia="宋体"/>
                <w:snapToGrid w:val="0"/>
                <w:color w:val="auto"/>
                <w:szCs w:val="21"/>
                <w:lang w:val="en-US" w:eastAsia="zh-CN"/>
              </w:rPr>
              <w:t>环保工程</w:t>
            </w:r>
          </w:p>
        </w:tc>
        <w:tc>
          <w:tcPr>
            <w:tcW w:w="364" w:type="pct"/>
            <w:vMerge w:val="restart"/>
            <w:vAlign w:val="center"/>
          </w:tcPr>
          <w:p w14:paraId="0372FC21">
            <w:pPr>
              <w:wordWrap w:val="0"/>
              <w:adjustRightInd w:val="0"/>
              <w:snapToGrid w:val="0"/>
              <w:jc w:val="center"/>
              <w:rPr>
                <w:rFonts w:eastAsia="宋体"/>
                <w:snapToGrid w:val="0"/>
                <w:color w:val="auto"/>
                <w:szCs w:val="21"/>
              </w:rPr>
            </w:pPr>
            <w:r>
              <w:rPr>
                <w:rFonts w:eastAsia="宋体"/>
                <w:snapToGrid w:val="0"/>
                <w:color w:val="auto"/>
                <w:szCs w:val="21"/>
              </w:rPr>
              <w:t>环境管理措施</w:t>
            </w:r>
          </w:p>
        </w:tc>
        <w:tc>
          <w:tcPr>
            <w:tcW w:w="1717" w:type="pct"/>
            <w:gridSpan w:val="2"/>
            <w:vAlign w:val="center"/>
          </w:tcPr>
          <w:p w14:paraId="7997BD62">
            <w:pPr>
              <w:adjustRightInd w:val="0"/>
              <w:snapToGrid w:val="0"/>
              <w:jc w:val="center"/>
              <w:rPr>
                <w:rFonts w:eastAsia="宋体"/>
                <w:color w:val="auto"/>
                <w:szCs w:val="21"/>
              </w:rPr>
            </w:pPr>
            <w:r>
              <w:rPr>
                <w:rFonts w:eastAsia="宋体"/>
                <w:color w:val="auto"/>
                <w:szCs w:val="21"/>
              </w:rPr>
              <w:t>未编制突发环境事件应急预案，未开展风险评估、安全评价工作。安全台账不完整，缺少设备检修及巡检记录。</w:t>
            </w:r>
          </w:p>
        </w:tc>
        <w:tc>
          <w:tcPr>
            <w:tcW w:w="1561" w:type="pct"/>
            <w:gridSpan w:val="2"/>
            <w:tcBorders>
              <w:right w:val="single" w:color="auto" w:sz="4" w:space="0"/>
            </w:tcBorders>
            <w:vAlign w:val="center"/>
          </w:tcPr>
          <w:p w14:paraId="06A082FB">
            <w:pPr>
              <w:wordWrap w:val="0"/>
              <w:adjustRightInd w:val="0"/>
              <w:snapToGrid w:val="0"/>
              <w:jc w:val="left"/>
              <w:rPr>
                <w:rFonts w:eastAsia="宋体"/>
                <w:snapToGrid w:val="0"/>
                <w:color w:val="auto"/>
                <w:szCs w:val="21"/>
              </w:rPr>
            </w:pPr>
            <w:r>
              <w:rPr>
                <w:rFonts w:eastAsia="宋体"/>
                <w:snapToGrid w:val="0"/>
                <w:color w:val="auto"/>
                <w:szCs w:val="21"/>
              </w:rPr>
              <w:t>委托具备资质的第三方机构编制《安全评价报告》、《风险评估报告》及《突发环境事件应急预案》，完成专家评审及备案。建立健全安全台账制度，完善设备检修、巡查记录，严格落实安全生产责任制，消除潜在风险隐患。</w:t>
            </w:r>
          </w:p>
        </w:tc>
        <w:tc>
          <w:tcPr>
            <w:tcW w:w="559" w:type="pct"/>
            <w:tcBorders>
              <w:left w:val="single" w:color="auto" w:sz="4" w:space="0"/>
            </w:tcBorders>
            <w:vAlign w:val="center"/>
          </w:tcPr>
          <w:p w14:paraId="6F4831C6">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07B84657">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02B34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69822CFD">
            <w:pPr>
              <w:wordWrap w:val="0"/>
              <w:adjustRightInd w:val="0"/>
              <w:snapToGrid w:val="0"/>
              <w:jc w:val="center"/>
              <w:rPr>
                <w:rFonts w:eastAsia="宋体"/>
                <w:snapToGrid w:val="0"/>
                <w:color w:val="auto"/>
                <w:szCs w:val="21"/>
              </w:rPr>
            </w:pPr>
          </w:p>
        </w:tc>
        <w:tc>
          <w:tcPr>
            <w:tcW w:w="364" w:type="pct"/>
            <w:vMerge w:val="continue"/>
            <w:vAlign w:val="center"/>
          </w:tcPr>
          <w:p w14:paraId="2882474B">
            <w:pPr>
              <w:wordWrap w:val="0"/>
              <w:adjustRightInd w:val="0"/>
              <w:snapToGrid w:val="0"/>
              <w:jc w:val="center"/>
              <w:rPr>
                <w:rFonts w:eastAsia="宋体"/>
                <w:snapToGrid w:val="0"/>
                <w:color w:val="auto"/>
                <w:szCs w:val="21"/>
              </w:rPr>
            </w:pPr>
          </w:p>
        </w:tc>
        <w:tc>
          <w:tcPr>
            <w:tcW w:w="1717" w:type="pct"/>
            <w:gridSpan w:val="2"/>
            <w:vAlign w:val="center"/>
          </w:tcPr>
          <w:p w14:paraId="33AB78D3">
            <w:pPr>
              <w:adjustRightInd w:val="0"/>
              <w:snapToGrid w:val="0"/>
              <w:jc w:val="center"/>
              <w:rPr>
                <w:rFonts w:eastAsia="宋体"/>
                <w:color w:val="auto"/>
                <w:szCs w:val="21"/>
              </w:rPr>
            </w:pPr>
            <w:r>
              <w:rPr>
                <w:rFonts w:eastAsia="宋体"/>
                <w:color w:val="auto"/>
                <w:szCs w:val="21"/>
              </w:rPr>
              <w:t>自行监测制度不完善，监测记录不全。环境管理制度及档案不健全。</w:t>
            </w:r>
          </w:p>
        </w:tc>
        <w:tc>
          <w:tcPr>
            <w:tcW w:w="1561" w:type="pct"/>
            <w:gridSpan w:val="2"/>
            <w:tcBorders>
              <w:right w:val="single" w:color="auto" w:sz="4" w:space="0"/>
            </w:tcBorders>
            <w:vAlign w:val="center"/>
          </w:tcPr>
          <w:p w14:paraId="41C8AE72">
            <w:pPr>
              <w:wordWrap w:val="0"/>
              <w:adjustRightInd w:val="0"/>
              <w:snapToGrid w:val="0"/>
              <w:jc w:val="left"/>
              <w:rPr>
                <w:rFonts w:eastAsia="宋体"/>
                <w:snapToGrid w:val="0"/>
                <w:color w:val="auto"/>
                <w:szCs w:val="21"/>
              </w:rPr>
            </w:pPr>
            <w:r>
              <w:rPr>
                <w:rFonts w:eastAsia="宋体"/>
                <w:snapToGrid w:val="0"/>
                <w:color w:val="auto"/>
                <w:szCs w:val="21"/>
              </w:rPr>
              <w:t>制定《环境保护管理制度》和《自行监测计划》，明确监测内容、频次及责任人，定期对废气排放口、无组织排放点及厂界环境质量开展自行监测，并形成记录台账。建立完善的环保档案，包括原始监测记录、设备运行日志、维护记录及异常情况处置记录。</w:t>
            </w:r>
          </w:p>
        </w:tc>
        <w:tc>
          <w:tcPr>
            <w:tcW w:w="559" w:type="pct"/>
            <w:tcBorders>
              <w:left w:val="single" w:color="auto" w:sz="4" w:space="0"/>
            </w:tcBorders>
            <w:vAlign w:val="center"/>
          </w:tcPr>
          <w:p w14:paraId="57434AEE">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48EA7231">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AE933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4E211511">
            <w:pPr>
              <w:wordWrap w:val="0"/>
              <w:adjustRightInd w:val="0"/>
              <w:snapToGrid w:val="0"/>
              <w:jc w:val="center"/>
              <w:rPr>
                <w:rFonts w:eastAsia="宋体"/>
                <w:snapToGrid w:val="0"/>
                <w:color w:val="auto"/>
                <w:szCs w:val="21"/>
              </w:rPr>
            </w:pPr>
          </w:p>
        </w:tc>
        <w:tc>
          <w:tcPr>
            <w:tcW w:w="364" w:type="pct"/>
            <w:vMerge w:val="continue"/>
            <w:vAlign w:val="center"/>
          </w:tcPr>
          <w:p w14:paraId="798510CE">
            <w:pPr>
              <w:wordWrap w:val="0"/>
              <w:adjustRightInd w:val="0"/>
              <w:snapToGrid w:val="0"/>
              <w:jc w:val="center"/>
              <w:rPr>
                <w:rFonts w:eastAsia="宋体"/>
                <w:snapToGrid w:val="0"/>
                <w:color w:val="auto"/>
                <w:szCs w:val="21"/>
              </w:rPr>
            </w:pPr>
          </w:p>
        </w:tc>
        <w:tc>
          <w:tcPr>
            <w:tcW w:w="1717" w:type="pct"/>
            <w:gridSpan w:val="2"/>
            <w:vAlign w:val="center"/>
          </w:tcPr>
          <w:p w14:paraId="1156E73B">
            <w:pPr>
              <w:adjustRightInd w:val="0"/>
              <w:snapToGrid w:val="0"/>
              <w:jc w:val="center"/>
              <w:rPr>
                <w:rFonts w:eastAsia="宋体"/>
                <w:color w:val="auto"/>
                <w:szCs w:val="21"/>
              </w:rPr>
            </w:pPr>
            <w:r>
              <w:rPr>
                <w:rFonts w:eastAsia="宋体"/>
                <w:color w:val="auto"/>
                <w:szCs w:val="21"/>
              </w:rPr>
              <w:t>石灰产品未制定临时堆放和出库制度。</w:t>
            </w:r>
          </w:p>
        </w:tc>
        <w:tc>
          <w:tcPr>
            <w:tcW w:w="1561" w:type="pct"/>
            <w:gridSpan w:val="2"/>
            <w:tcBorders>
              <w:right w:val="single" w:color="auto" w:sz="4" w:space="0"/>
            </w:tcBorders>
            <w:vAlign w:val="center"/>
          </w:tcPr>
          <w:p w14:paraId="087D7BAB">
            <w:pPr>
              <w:wordWrap w:val="0"/>
              <w:adjustRightInd w:val="0"/>
              <w:snapToGrid w:val="0"/>
              <w:jc w:val="left"/>
              <w:rPr>
                <w:rFonts w:eastAsia="宋体"/>
                <w:snapToGrid w:val="0"/>
                <w:color w:val="auto"/>
                <w:szCs w:val="21"/>
              </w:rPr>
            </w:pPr>
            <w:r>
              <w:rPr>
                <w:rFonts w:eastAsia="宋体"/>
                <w:snapToGrid w:val="0"/>
                <w:color w:val="auto"/>
                <w:szCs w:val="21"/>
              </w:rPr>
              <w:t>明确石灰产品“当天生产、当天运出”制度，制定成品管理规范，杜绝长时间堆放。罐装运输过程中采取密闭输送和封闭罐车装载，避免粉尘泄漏。</w:t>
            </w:r>
          </w:p>
        </w:tc>
        <w:tc>
          <w:tcPr>
            <w:tcW w:w="559" w:type="pct"/>
            <w:tcBorders>
              <w:left w:val="single" w:color="auto" w:sz="4" w:space="0"/>
            </w:tcBorders>
            <w:vAlign w:val="center"/>
          </w:tcPr>
          <w:p w14:paraId="57B7EE0D">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768DFF6D">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7D9C68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149CA9F2">
            <w:pPr>
              <w:wordWrap w:val="0"/>
              <w:adjustRightInd w:val="0"/>
              <w:snapToGrid w:val="0"/>
              <w:jc w:val="center"/>
              <w:rPr>
                <w:rFonts w:eastAsia="宋体"/>
                <w:snapToGrid w:val="0"/>
                <w:color w:val="auto"/>
                <w:szCs w:val="21"/>
              </w:rPr>
            </w:pPr>
          </w:p>
        </w:tc>
        <w:tc>
          <w:tcPr>
            <w:tcW w:w="364" w:type="pct"/>
            <w:vMerge w:val="continue"/>
            <w:vAlign w:val="center"/>
          </w:tcPr>
          <w:p w14:paraId="5FDE2CD8">
            <w:pPr>
              <w:wordWrap w:val="0"/>
              <w:adjustRightInd w:val="0"/>
              <w:snapToGrid w:val="0"/>
              <w:jc w:val="center"/>
              <w:rPr>
                <w:rFonts w:eastAsia="宋体"/>
                <w:snapToGrid w:val="0"/>
                <w:color w:val="auto"/>
                <w:szCs w:val="21"/>
              </w:rPr>
            </w:pPr>
          </w:p>
        </w:tc>
        <w:tc>
          <w:tcPr>
            <w:tcW w:w="1717" w:type="pct"/>
            <w:gridSpan w:val="2"/>
            <w:vAlign w:val="center"/>
          </w:tcPr>
          <w:p w14:paraId="1F5D2C6A">
            <w:pPr>
              <w:adjustRightInd w:val="0"/>
              <w:snapToGrid w:val="0"/>
              <w:jc w:val="center"/>
              <w:rPr>
                <w:rFonts w:eastAsia="宋体"/>
                <w:color w:val="auto"/>
                <w:szCs w:val="21"/>
              </w:rPr>
            </w:pPr>
            <w:r>
              <w:rPr>
                <w:rFonts w:eastAsia="宋体"/>
                <w:color w:val="auto"/>
                <w:szCs w:val="21"/>
              </w:rPr>
              <w:t>厂区围墙、挡墙及雨污分流设施不完善。堆场管理不规范，部分地面未硬化</w:t>
            </w:r>
          </w:p>
        </w:tc>
        <w:tc>
          <w:tcPr>
            <w:tcW w:w="1561" w:type="pct"/>
            <w:gridSpan w:val="2"/>
            <w:tcBorders>
              <w:right w:val="single" w:color="auto" w:sz="4" w:space="0"/>
            </w:tcBorders>
            <w:vAlign w:val="center"/>
          </w:tcPr>
          <w:p w14:paraId="10EB622A">
            <w:pPr>
              <w:wordWrap w:val="0"/>
              <w:adjustRightInd w:val="0"/>
              <w:snapToGrid w:val="0"/>
              <w:jc w:val="left"/>
              <w:rPr>
                <w:rFonts w:eastAsia="宋体"/>
                <w:snapToGrid w:val="0"/>
                <w:color w:val="auto"/>
                <w:szCs w:val="21"/>
              </w:rPr>
            </w:pPr>
            <w:r>
              <w:rPr>
                <w:rFonts w:eastAsia="宋体"/>
                <w:snapToGrid w:val="0"/>
                <w:color w:val="auto"/>
                <w:szCs w:val="21"/>
              </w:rPr>
              <w:t>对厂区围墙、挡墙进行修复加固，完善雨污分流系统；对堆场实行全封闭或加盖防雨布管理，所有地面硬化。厂区内设置绿化带和喷淋装置，以降低扬尘扩散。</w:t>
            </w:r>
          </w:p>
        </w:tc>
        <w:tc>
          <w:tcPr>
            <w:tcW w:w="559" w:type="pct"/>
            <w:tcBorders>
              <w:left w:val="single" w:color="auto" w:sz="4" w:space="0"/>
            </w:tcBorders>
            <w:vAlign w:val="center"/>
          </w:tcPr>
          <w:p w14:paraId="6849AC91">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3935A21D">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r w14:paraId="3AB98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93" w:hRule="atLeast"/>
          <w:jc w:val="center"/>
        </w:trPr>
        <w:tc>
          <w:tcPr>
            <w:tcW w:w="236" w:type="pct"/>
            <w:vMerge w:val="continue"/>
            <w:vAlign w:val="center"/>
          </w:tcPr>
          <w:p w14:paraId="7726A53B">
            <w:pPr>
              <w:wordWrap w:val="0"/>
              <w:adjustRightInd w:val="0"/>
              <w:snapToGrid w:val="0"/>
              <w:jc w:val="center"/>
              <w:rPr>
                <w:rFonts w:eastAsia="宋体"/>
                <w:snapToGrid w:val="0"/>
                <w:color w:val="auto"/>
                <w:szCs w:val="21"/>
              </w:rPr>
            </w:pPr>
          </w:p>
        </w:tc>
        <w:tc>
          <w:tcPr>
            <w:tcW w:w="364" w:type="pct"/>
            <w:vMerge w:val="continue"/>
            <w:vAlign w:val="center"/>
          </w:tcPr>
          <w:p w14:paraId="3A263481">
            <w:pPr>
              <w:wordWrap w:val="0"/>
              <w:adjustRightInd w:val="0"/>
              <w:snapToGrid w:val="0"/>
              <w:jc w:val="center"/>
              <w:rPr>
                <w:rFonts w:eastAsia="宋体"/>
                <w:snapToGrid w:val="0"/>
                <w:color w:val="auto"/>
                <w:szCs w:val="21"/>
              </w:rPr>
            </w:pPr>
          </w:p>
        </w:tc>
        <w:tc>
          <w:tcPr>
            <w:tcW w:w="1717" w:type="pct"/>
            <w:gridSpan w:val="2"/>
            <w:vAlign w:val="center"/>
          </w:tcPr>
          <w:p w14:paraId="3F1CD7D5">
            <w:pPr>
              <w:adjustRightInd w:val="0"/>
              <w:snapToGrid w:val="0"/>
              <w:jc w:val="center"/>
              <w:rPr>
                <w:rFonts w:eastAsia="宋体"/>
                <w:color w:val="auto"/>
                <w:szCs w:val="21"/>
              </w:rPr>
            </w:pPr>
            <w:r>
              <w:rPr>
                <w:rFonts w:eastAsia="宋体"/>
                <w:color w:val="auto"/>
                <w:szCs w:val="21"/>
              </w:rPr>
              <w:t>/</w:t>
            </w:r>
          </w:p>
        </w:tc>
        <w:tc>
          <w:tcPr>
            <w:tcW w:w="1561" w:type="pct"/>
            <w:gridSpan w:val="2"/>
            <w:tcBorders>
              <w:right w:val="single" w:color="auto" w:sz="4" w:space="0"/>
            </w:tcBorders>
            <w:vAlign w:val="center"/>
          </w:tcPr>
          <w:p w14:paraId="6938B446">
            <w:pPr>
              <w:wordWrap w:val="0"/>
              <w:adjustRightInd w:val="0"/>
              <w:snapToGrid w:val="0"/>
              <w:jc w:val="left"/>
              <w:rPr>
                <w:rFonts w:eastAsia="宋体"/>
                <w:snapToGrid w:val="0"/>
                <w:color w:val="auto"/>
                <w:szCs w:val="21"/>
              </w:rPr>
            </w:pPr>
            <w:r>
              <w:rPr>
                <w:rFonts w:eastAsia="宋体"/>
                <w:snapToGrid w:val="0"/>
                <w:color w:val="auto"/>
                <w:szCs w:val="21"/>
              </w:rPr>
              <w:t>建立由企业负责人牵头的环境安全管理小组，定期对污染防治设施和安全系统运行情况进行检查评估，确保各项整改措施长期有效。</w:t>
            </w:r>
          </w:p>
        </w:tc>
        <w:tc>
          <w:tcPr>
            <w:tcW w:w="559" w:type="pct"/>
            <w:tcBorders>
              <w:left w:val="single" w:color="auto" w:sz="4" w:space="0"/>
            </w:tcBorders>
            <w:vAlign w:val="center"/>
          </w:tcPr>
          <w:p w14:paraId="13A783C8">
            <w:pPr>
              <w:wordWrap w:val="0"/>
              <w:adjustRightInd w:val="0"/>
              <w:snapToGrid w:val="0"/>
              <w:jc w:val="center"/>
              <w:rPr>
                <w:rFonts w:eastAsia="宋体"/>
                <w:snapToGrid w:val="0"/>
                <w:color w:val="auto"/>
                <w:szCs w:val="21"/>
              </w:rPr>
            </w:pPr>
            <w:r>
              <w:rPr>
                <w:rFonts w:eastAsia="宋体"/>
                <w:snapToGrid w:val="0"/>
                <w:color w:val="auto"/>
                <w:szCs w:val="21"/>
              </w:rPr>
              <w:t>新增</w:t>
            </w:r>
          </w:p>
        </w:tc>
        <w:tc>
          <w:tcPr>
            <w:tcW w:w="559" w:type="pct"/>
            <w:tcBorders>
              <w:left w:val="single" w:color="auto" w:sz="4" w:space="0"/>
            </w:tcBorders>
            <w:vAlign w:val="center"/>
          </w:tcPr>
          <w:p w14:paraId="599D317A">
            <w:pPr>
              <w:wordWrap w:val="0"/>
              <w:adjustRightInd w:val="0"/>
              <w:snapToGrid w:val="0"/>
              <w:jc w:val="center"/>
              <w:rPr>
                <w:rFonts w:eastAsia="宋体"/>
                <w:snapToGrid w:val="0"/>
                <w:color w:val="auto"/>
                <w:szCs w:val="21"/>
              </w:rPr>
            </w:pPr>
            <w:r>
              <w:rPr>
                <w:rFonts w:hint="eastAsia" w:eastAsia="宋体"/>
                <w:snapToGrid w:val="0"/>
                <w:color w:val="auto"/>
                <w:szCs w:val="21"/>
                <w:lang w:val="en-US" w:eastAsia="zh-CN"/>
              </w:rPr>
              <w:t>无变动</w:t>
            </w:r>
          </w:p>
        </w:tc>
      </w:tr>
    </w:tbl>
    <w:p w14:paraId="36BE723D">
      <w:pPr>
        <w:spacing w:line="360" w:lineRule="auto"/>
        <w:jc w:val="center"/>
        <w:rPr>
          <w:rFonts w:hint="eastAsia" w:ascii="Times New Roman" w:hAnsi="Times New Roman" w:eastAsia="楷体_GB2312" w:cs="Times New Roman"/>
          <w:sz w:val="24"/>
          <w:szCs w:val="24"/>
        </w:rPr>
      </w:pPr>
    </w:p>
    <w:p w14:paraId="38B8D0E6">
      <w:pPr>
        <w:numPr>
          <w:ilvl w:val="0"/>
          <w:numId w:val="1"/>
        </w:numPr>
        <w:spacing w:line="360" w:lineRule="auto"/>
        <w:ind w:firstLine="482" w:firstLineChars="200"/>
        <w:rPr>
          <w:rFonts w:ascii="Times New Roman" w:hAnsi="Times New Roman" w:eastAsia="楷体_GB2312" w:cs="Times New Roman"/>
          <w:b/>
          <w:sz w:val="24"/>
          <w:szCs w:val="24"/>
        </w:rPr>
      </w:pPr>
      <w:r>
        <w:rPr>
          <w:rFonts w:ascii="Times New Roman" w:hAnsi="Times New Roman" w:eastAsia="楷体_GB2312" w:cs="Times New Roman"/>
          <w:b/>
          <w:sz w:val="24"/>
          <w:szCs w:val="24"/>
        </w:rPr>
        <w:t>环境保护设施建设情况</w:t>
      </w:r>
    </w:p>
    <w:tbl>
      <w:tblPr>
        <w:tblStyle w:val="13"/>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
        <w:gridCol w:w="1606"/>
        <w:gridCol w:w="1609"/>
        <w:gridCol w:w="1617"/>
        <w:gridCol w:w="1617"/>
        <w:gridCol w:w="1201"/>
      </w:tblGrid>
      <w:tr w14:paraId="454EF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5" w:type="pct"/>
            <w:noWrap w:val="0"/>
            <w:vAlign w:val="center"/>
          </w:tcPr>
          <w:p w14:paraId="622941CD">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项目</w:t>
            </w:r>
          </w:p>
        </w:tc>
        <w:tc>
          <w:tcPr>
            <w:tcW w:w="1888" w:type="pct"/>
            <w:gridSpan w:val="2"/>
            <w:noWrap w:val="0"/>
            <w:vAlign w:val="center"/>
          </w:tcPr>
          <w:p w14:paraId="4E538821">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环评及批复要求</w:t>
            </w:r>
          </w:p>
        </w:tc>
        <w:tc>
          <w:tcPr>
            <w:tcW w:w="1900" w:type="pct"/>
            <w:gridSpan w:val="2"/>
            <w:noWrap w:val="0"/>
            <w:vAlign w:val="center"/>
          </w:tcPr>
          <w:p w14:paraId="7E1D1302">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t>实际落实情况</w:t>
            </w:r>
          </w:p>
        </w:tc>
        <w:tc>
          <w:tcPr>
            <w:tcW w:w="705" w:type="pct"/>
            <w:noWrap w:val="0"/>
            <w:vAlign w:val="center"/>
          </w:tcPr>
          <w:p w14:paraId="5B2D1B24">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变更情况</w:t>
            </w:r>
          </w:p>
        </w:tc>
      </w:tr>
      <w:tr w14:paraId="5AEA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4" w:hRule="atLeast"/>
          <w:jc w:val="center"/>
        </w:trPr>
        <w:tc>
          <w:tcPr>
            <w:tcW w:w="505" w:type="pct"/>
            <w:vMerge w:val="restart"/>
            <w:noWrap w:val="0"/>
            <w:vAlign w:val="center"/>
          </w:tcPr>
          <w:p w14:paraId="6F85792B">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废水</w:t>
            </w:r>
          </w:p>
        </w:tc>
        <w:tc>
          <w:tcPr>
            <w:tcW w:w="1888" w:type="pct"/>
            <w:gridSpan w:val="2"/>
            <w:noWrap w:val="0"/>
            <w:vAlign w:val="center"/>
          </w:tcPr>
          <w:p w14:paraId="550843A1">
            <w:pPr>
              <w:pStyle w:val="36"/>
              <w:ind w:firstLine="420" w:firstLineChars="200"/>
              <w:jc w:val="left"/>
              <w:rPr>
                <w:color w:val="auto"/>
                <w:sz w:val="21"/>
                <w:szCs w:val="21"/>
              </w:rPr>
            </w:pPr>
            <w:r>
              <w:rPr>
                <w:color w:val="auto"/>
                <w:sz w:val="21"/>
                <w:szCs w:val="21"/>
              </w:rPr>
              <w:t>场地冲洗废水和设备清洗废水引至原项目山泉水集水池（4m×3m×3m），经沉淀后回用于生产，不外排。</w:t>
            </w:r>
          </w:p>
          <w:p w14:paraId="2382FA09">
            <w:pPr>
              <w:pStyle w:val="36"/>
              <w:ind w:firstLine="420" w:firstLineChars="200"/>
              <w:jc w:val="left"/>
              <w:rPr>
                <w:color w:val="auto"/>
                <w:sz w:val="21"/>
                <w:szCs w:val="21"/>
              </w:rPr>
            </w:pPr>
            <w:r>
              <w:rPr>
                <w:color w:val="auto"/>
                <w:sz w:val="21"/>
                <w:szCs w:val="21"/>
              </w:rPr>
              <w:t>原项目已有：脱硫装置废水经沉淀池（20m</w:t>
            </w:r>
            <w:r>
              <w:rPr>
                <w:color w:val="auto"/>
                <w:sz w:val="21"/>
                <w:szCs w:val="21"/>
                <w:vertAlign w:val="superscript"/>
              </w:rPr>
              <w:t>3</w:t>
            </w:r>
            <w:r>
              <w:rPr>
                <w:color w:val="auto"/>
                <w:sz w:val="21"/>
                <w:szCs w:val="21"/>
              </w:rPr>
              <w:t>/d）沉淀后回用不外排；生活污水经旱厕（30m</w:t>
            </w:r>
            <w:r>
              <w:rPr>
                <w:color w:val="auto"/>
                <w:sz w:val="21"/>
                <w:szCs w:val="21"/>
                <w:vertAlign w:val="superscript"/>
              </w:rPr>
              <w:t>3</w:t>
            </w:r>
            <w:r>
              <w:rPr>
                <w:color w:val="auto"/>
                <w:sz w:val="21"/>
                <w:szCs w:val="21"/>
              </w:rPr>
              <w:t>/d）收集后用于周边玉米、番薯地施肥浇灌。</w:t>
            </w:r>
          </w:p>
          <w:p w14:paraId="1388AFC2">
            <w:pPr>
              <w:pStyle w:val="36"/>
              <w:ind w:firstLine="420" w:firstLineChars="200"/>
              <w:jc w:val="left"/>
              <w:rPr>
                <w:color w:val="auto"/>
                <w:sz w:val="21"/>
                <w:szCs w:val="21"/>
              </w:rPr>
            </w:pPr>
            <w:r>
              <w:rPr>
                <w:color w:val="auto"/>
                <w:sz w:val="21"/>
                <w:szCs w:val="21"/>
              </w:rPr>
              <w:t>原项目进出车辆冲洗，依托重庆市江南矿业有限公司现有车辆冲洗设施进行。原项目租用江南矿业有限公司采矿区内场地，因此，在项目运营期间，进出项目的车辆将统一利用江南矿业在其矿区公路与乡道交汇处设置的车辆冲洗平台，对车辆轮胎进行冲洗。该冲洗平台配备有4m³简易隔油沉淀池，冲洗废水经沉淀处理后循环使用，不外排。此部分车辆冲洗用水及相关设施的运行、管理均由江南矿业有限公司负责。本项目车辆冲洗用水不单独计量，也不产生额外的冲洗废水外排。</w:t>
            </w:r>
          </w:p>
          <w:p w14:paraId="3796BA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hAnsi="宋体" w:eastAsiaTheme="minorEastAsia"/>
                <w:bCs/>
                <w:color w:val="000000"/>
                <w:sz w:val="21"/>
                <w:szCs w:val="21"/>
                <w:lang w:val="en-US" w:eastAsia="zh-CN"/>
              </w:rPr>
            </w:pPr>
            <w:r>
              <w:rPr>
                <w:color w:val="auto"/>
                <w:sz w:val="21"/>
                <w:szCs w:val="21"/>
              </w:rPr>
              <w:t>原项目在运营中，全面依托重庆市江南矿业有限公司现有的雨水径流控制和处理系统。原项目利用江南矿业在采矿区上游设置的截洪沟来阻止外来雨水进入项目作业区，通过现有排水沟系统收集项目区内的雨水，并将其初期径流导入江南矿业已建的雨水沉砂池进行沉淀处理。处理后的初期雨水将循环用于江南矿区及场内运输道路的洒水降尘，实现零外排。后期雨水则通过既有截水沟安全导出场区。所有雨水设施的所有权、运行和管理均归属于江南矿业有限公司，原项目不新建独立设施，也不新增任何雨水外排。</w:t>
            </w:r>
          </w:p>
        </w:tc>
        <w:tc>
          <w:tcPr>
            <w:tcW w:w="1900" w:type="pct"/>
            <w:gridSpan w:val="2"/>
            <w:noWrap w:val="0"/>
            <w:vAlign w:val="center"/>
          </w:tcPr>
          <w:p w14:paraId="00967AE1">
            <w:pPr>
              <w:pStyle w:val="36"/>
              <w:ind w:firstLine="420" w:firstLineChars="200"/>
              <w:jc w:val="left"/>
              <w:rPr>
                <w:color w:val="auto"/>
                <w:sz w:val="21"/>
                <w:szCs w:val="21"/>
              </w:rPr>
            </w:pPr>
            <w:r>
              <w:rPr>
                <w:color w:val="auto"/>
                <w:sz w:val="21"/>
                <w:szCs w:val="21"/>
              </w:rPr>
              <w:t>场地冲洗废水和设备清洗废水引至原项目山泉水集水池（4m×3m×3m），经沉淀后回用于生产，不外排。</w:t>
            </w:r>
          </w:p>
          <w:p w14:paraId="349E9C4D">
            <w:pPr>
              <w:pStyle w:val="36"/>
              <w:ind w:firstLine="420" w:firstLineChars="200"/>
              <w:jc w:val="left"/>
              <w:rPr>
                <w:color w:val="auto"/>
                <w:sz w:val="21"/>
                <w:szCs w:val="21"/>
              </w:rPr>
            </w:pPr>
            <w:r>
              <w:rPr>
                <w:color w:val="auto"/>
                <w:sz w:val="21"/>
                <w:szCs w:val="21"/>
              </w:rPr>
              <w:t>原项目已有：脱硫装置废水经沉淀池（20m</w:t>
            </w:r>
            <w:r>
              <w:rPr>
                <w:color w:val="auto"/>
                <w:sz w:val="21"/>
                <w:szCs w:val="21"/>
                <w:vertAlign w:val="superscript"/>
              </w:rPr>
              <w:t>3</w:t>
            </w:r>
            <w:r>
              <w:rPr>
                <w:color w:val="auto"/>
                <w:sz w:val="21"/>
                <w:szCs w:val="21"/>
              </w:rPr>
              <w:t>/d）沉淀后回用不外排；生活污水经旱厕（30m</w:t>
            </w:r>
            <w:r>
              <w:rPr>
                <w:color w:val="auto"/>
                <w:sz w:val="21"/>
                <w:szCs w:val="21"/>
                <w:vertAlign w:val="superscript"/>
              </w:rPr>
              <w:t>3</w:t>
            </w:r>
            <w:r>
              <w:rPr>
                <w:color w:val="auto"/>
                <w:sz w:val="21"/>
                <w:szCs w:val="21"/>
              </w:rPr>
              <w:t>/d）收集后用于周边玉米、番薯地施肥浇灌。</w:t>
            </w:r>
          </w:p>
          <w:p w14:paraId="08EA6FC6">
            <w:pPr>
              <w:pStyle w:val="36"/>
              <w:ind w:firstLine="420" w:firstLineChars="200"/>
              <w:jc w:val="left"/>
              <w:rPr>
                <w:color w:val="auto"/>
                <w:sz w:val="21"/>
                <w:szCs w:val="21"/>
              </w:rPr>
            </w:pPr>
            <w:r>
              <w:rPr>
                <w:color w:val="auto"/>
                <w:sz w:val="21"/>
                <w:szCs w:val="21"/>
              </w:rPr>
              <w:t>原项目进出车辆冲洗，依托重庆市江南矿业有限公司现有车辆冲洗设施进行。原项目租用江南矿业有限公司采矿区内场地，因此，在项目运营期间，进出项目的车辆将统一利用江南矿业在其矿区公路与乡道交汇处设置的车辆冲洗平台，对车辆轮胎进行冲洗。该冲洗平台配备有4m³简易隔油沉淀池，冲洗废水经沉淀处理后循环使用，不外排。此部分车辆冲洗用水及相关设施的运行、管理均由江南矿业有限公司负责。本项目车辆冲洗用水不单独计量，也不产生额外的冲洗废水外排。</w:t>
            </w:r>
          </w:p>
          <w:p w14:paraId="338BB0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Ansi="宋体"/>
                <w:bCs/>
                <w:color w:val="000000"/>
                <w:sz w:val="21"/>
                <w:szCs w:val="21"/>
              </w:rPr>
            </w:pPr>
            <w:r>
              <w:rPr>
                <w:color w:val="auto"/>
                <w:sz w:val="21"/>
                <w:szCs w:val="21"/>
              </w:rPr>
              <w:t>原项目在运营中，全面依托重庆市江南矿业有限公司现有的雨水径流控制和处理系统。原项目利用江南矿业在采矿区上游设置的截洪沟来阻止外来雨水进入项目作业区，通过现有排水沟系统收集项目区内的雨水，并将其初期径流导入江南矿业已建的雨水沉砂池进行沉淀处理。处理后的初期雨水将循环用于江南矿区及场内运输道路的洒水降尘，实现零外排。后期雨水则通过既有截水沟安全导出场区。所有雨水设施的所有权、运行和管理均归属于江南矿业有限公司，原项目不新建独立设施，也不新增任何雨水外排。</w:t>
            </w:r>
          </w:p>
        </w:tc>
        <w:tc>
          <w:tcPr>
            <w:tcW w:w="705" w:type="pct"/>
            <w:vMerge w:val="restart"/>
            <w:noWrap w:val="0"/>
            <w:vAlign w:val="center"/>
          </w:tcPr>
          <w:p w14:paraId="5C11F29E">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266C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restart"/>
            <w:noWrap w:val="0"/>
            <w:vAlign w:val="center"/>
          </w:tcPr>
          <w:p w14:paraId="5A081110">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p w14:paraId="6A6BD51C">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p w14:paraId="644758F3">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p w14:paraId="007A98A5">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p w14:paraId="28DE7728">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废气</w:t>
            </w:r>
          </w:p>
        </w:tc>
        <w:tc>
          <w:tcPr>
            <w:tcW w:w="943" w:type="pct"/>
            <w:noWrap w:val="0"/>
            <w:vAlign w:val="center"/>
          </w:tcPr>
          <w:p w14:paraId="49D050BE">
            <w:pPr>
              <w:pStyle w:val="36"/>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color w:val="auto"/>
                <w:sz w:val="21"/>
                <w:szCs w:val="21"/>
              </w:rPr>
              <w:t>原料仓</w:t>
            </w:r>
          </w:p>
        </w:tc>
        <w:tc>
          <w:tcPr>
            <w:tcW w:w="1806" w:type="dxa"/>
            <w:noWrap w:val="0"/>
            <w:vAlign w:val="center"/>
          </w:tcPr>
          <w:p w14:paraId="00A3FC90">
            <w:pPr>
              <w:pStyle w:val="35"/>
              <w:rPr>
                <w:rFonts w:hint="eastAsia"/>
                <w:color w:val="000000"/>
                <w:sz w:val="21"/>
                <w:szCs w:val="21"/>
                <w:lang w:val="en-US" w:eastAsia="zh-CN"/>
              </w:rPr>
            </w:pPr>
            <w:r>
              <w:rPr>
                <w:bCs w:val="0"/>
                <w:color w:val="auto"/>
              </w:rPr>
              <w:t>1#脉冲式布袋除尘器</w:t>
            </w:r>
          </w:p>
        </w:tc>
        <w:tc>
          <w:tcPr>
            <w:tcW w:w="1816" w:type="dxa"/>
            <w:noWrap w:val="0"/>
            <w:vAlign w:val="center"/>
          </w:tcPr>
          <w:p w14:paraId="02A11656">
            <w:pPr>
              <w:pStyle w:val="36"/>
              <w:rPr>
                <w:rFonts w:hint="eastAsia"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pPr>
            <w:r>
              <w:rPr>
                <w:color w:val="auto"/>
                <w:sz w:val="21"/>
                <w:szCs w:val="21"/>
              </w:rPr>
              <w:t>原料仓</w:t>
            </w:r>
          </w:p>
        </w:tc>
        <w:tc>
          <w:tcPr>
            <w:tcW w:w="1816" w:type="dxa"/>
            <w:noWrap w:val="0"/>
            <w:vAlign w:val="center"/>
          </w:tcPr>
          <w:p w14:paraId="0341A938">
            <w:pPr>
              <w:pStyle w:val="35"/>
              <w:rPr>
                <w:rFonts w:hint="eastAsia"/>
                <w:color w:val="000000"/>
                <w:sz w:val="21"/>
                <w:szCs w:val="21"/>
                <w:lang w:val="en-US" w:eastAsia="zh-CN"/>
              </w:rPr>
            </w:pPr>
            <w:r>
              <w:rPr>
                <w:bCs w:val="0"/>
                <w:color w:val="auto"/>
              </w:rPr>
              <w:t>1#脉冲式布袋除尘器</w:t>
            </w:r>
          </w:p>
        </w:tc>
        <w:tc>
          <w:tcPr>
            <w:tcW w:w="705" w:type="pct"/>
            <w:vMerge w:val="restart"/>
            <w:noWrap w:val="0"/>
            <w:vAlign w:val="center"/>
          </w:tcPr>
          <w:p w14:paraId="5CBD405B">
            <w:pPr>
              <w:pStyle w:val="2"/>
              <w:ind w:firstLine="210" w:firstLineChars="100"/>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p w14:paraId="0A418BA5">
            <w:pPr>
              <w:pStyle w:val="2"/>
              <w:ind w:firstLine="210" w:firstLineChars="100"/>
              <w:rPr>
                <w:rFonts w:hint="default"/>
                <w:lang w:val="en-US" w:eastAsia="zh-CN"/>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4842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468728DA">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pPr>
          </w:p>
        </w:tc>
        <w:tc>
          <w:tcPr>
            <w:tcW w:w="943" w:type="pct"/>
            <w:noWrap w:val="0"/>
            <w:vAlign w:val="center"/>
          </w:tcPr>
          <w:p w14:paraId="703D753C">
            <w:pPr>
              <w:pStyle w:val="36"/>
            </w:pPr>
            <w:r>
              <w:rPr>
                <w:color w:val="auto"/>
                <w:sz w:val="21"/>
                <w:szCs w:val="21"/>
              </w:rPr>
              <w:t>中转仓</w:t>
            </w:r>
          </w:p>
        </w:tc>
        <w:tc>
          <w:tcPr>
            <w:tcW w:w="1806" w:type="dxa"/>
            <w:noWrap w:val="0"/>
            <w:vAlign w:val="center"/>
          </w:tcPr>
          <w:p w14:paraId="412597ED">
            <w:pPr>
              <w:pStyle w:val="35"/>
              <w:rPr>
                <w:rFonts w:hint="eastAsia"/>
                <w:color w:val="000000"/>
                <w:sz w:val="21"/>
                <w:szCs w:val="21"/>
                <w:lang w:val="en-US" w:eastAsia="zh-CN"/>
              </w:rPr>
            </w:pPr>
            <w:r>
              <w:rPr>
                <w:bCs w:val="0"/>
                <w:color w:val="auto"/>
              </w:rPr>
              <w:t>2#脉冲式布袋除尘器</w:t>
            </w:r>
          </w:p>
        </w:tc>
        <w:tc>
          <w:tcPr>
            <w:tcW w:w="1816" w:type="dxa"/>
            <w:noWrap w:val="0"/>
            <w:vAlign w:val="center"/>
          </w:tcPr>
          <w:p w14:paraId="17CBB796">
            <w:pPr>
              <w:pStyle w:val="36"/>
              <w:rPr>
                <w:rFonts w:hint="eastAsia"/>
                <w:color w:val="000000"/>
                <w:sz w:val="21"/>
                <w:szCs w:val="21"/>
                <w:lang w:val="en-US" w:eastAsia="zh-CN"/>
              </w:rPr>
            </w:pPr>
            <w:r>
              <w:rPr>
                <w:color w:val="auto"/>
                <w:sz w:val="21"/>
                <w:szCs w:val="21"/>
              </w:rPr>
              <w:t>中转仓</w:t>
            </w:r>
          </w:p>
        </w:tc>
        <w:tc>
          <w:tcPr>
            <w:tcW w:w="1816" w:type="dxa"/>
            <w:noWrap w:val="0"/>
            <w:vAlign w:val="center"/>
          </w:tcPr>
          <w:p w14:paraId="096BBC95">
            <w:pPr>
              <w:pStyle w:val="35"/>
              <w:rPr>
                <w:rFonts w:hint="eastAsia"/>
                <w:color w:val="000000"/>
                <w:sz w:val="21"/>
                <w:szCs w:val="21"/>
                <w:lang w:val="en-US" w:eastAsia="zh-CN"/>
              </w:rPr>
            </w:pPr>
            <w:r>
              <w:rPr>
                <w:bCs w:val="0"/>
                <w:color w:val="auto"/>
              </w:rPr>
              <w:t>2#脉冲式布袋除尘器</w:t>
            </w:r>
          </w:p>
        </w:tc>
        <w:tc>
          <w:tcPr>
            <w:tcW w:w="705" w:type="pct"/>
            <w:vMerge w:val="continue"/>
            <w:noWrap w:val="0"/>
            <w:vAlign w:val="center"/>
          </w:tcPr>
          <w:p w14:paraId="6864C6C5">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r>
      <w:tr w14:paraId="668B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6971992F">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2664A1C5">
            <w:pPr>
              <w:pStyle w:val="36"/>
              <w:rPr>
                <w:rFonts w:hint="eastAsia"/>
                <w:color w:val="000000"/>
                <w:sz w:val="21"/>
                <w:szCs w:val="21"/>
                <w:lang w:val="en-US" w:eastAsia="zh-CN"/>
              </w:rPr>
            </w:pPr>
            <w:r>
              <w:rPr>
                <w:color w:val="auto"/>
                <w:sz w:val="21"/>
                <w:szCs w:val="21"/>
              </w:rPr>
              <w:t>1#成品仓</w:t>
            </w:r>
          </w:p>
        </w:tc>
        <w:tc>
          <w:tcPr>
            <w:tcW w:w="1806" w:type="dxa"/>
            <w:vMerge w:val="restart"/>
            <w:noWrap w:val="0"/>
            <w:vAlign w:val="center"/>
          </w:tcPr>
          <w:p w14:paraId="23C40141">
            <w:pPr>
              <w:pStyle w:val="35"/>
              <w:rPr>
                <w:rFonts w:hint="eastAsia"/>
                <w:color w:val="000000"/>
                <w:sz w:val="21"/>
                <w:szCs w:val="21"/>
                <w:lang w:val="en-US" w:eastAsia="zh-CN"/>
              </w:rPr>
            </w:pPr>
            <w:r>
              <w:rPr>
                <w:bCs w:val="0"/>
                <w:color w:val="auto"/>
              </w:rPr>
              <w:t>3#脉冲式布袋除尘器</w:t>
            </w:r>
          </w:p>
        </w:tc>
        <w:tc>
          <w:tcPr>
            <w:tcW w:w="1816" w:type="dxa"/>
            <w:noWrap w:val="0"/>
            <w:vAlign w:val="center"/>
          </w:tcPr>
          <w:p w14:paraId="79F773E7">
            <w:pPr>
              <w:pStyle w:val="36"/>
              <w:rPr>
                <w:rFonts w:hint="eastAsia"/>
                <w:color w:val="000000"/>
                <w:sz w:val="21"/>
                <w:szCs w:val="21"/>
                <w:lang w:val="en-US" w:eastAsia="zh-CN"/>
              </w:rPr>
            </w:pPr>
            <w:r>
              <w:rPr>
                <w:color w:val="auto"/>
                <w:sz w:val="21"/>
                <w:szCs w:val="21"/>
              </w:rPr>
              <w:t>1#成品仓</w:t>
            </w:r>
          </w:p>
        </w:tc>
        <w:tc>
          <w:tcPr>
            <w:tcW w:w="1816" w:type="dxa"/>
            <w:vMerge w:val="restart"/>
            <w:noWrap w:val="0"/>
            <w:vAlign w:val="center"/>
          </w:tcPr>
          <w:p w14:paraId="45F99093">
            <w:pPr>
              <w:pStyle w:val="35"/>
              <w:rPr>
                <w:rFonts w:hint="eastAsia"/>
                <w:color w:val="000000"/>
                <w:sz w:val="21"/>
                <w:szCs w:val="21"/>
                <w:lang w:val="en-US" w:eastAsia="zh-CN"/>
              </w:rPr>
            </w:pPr>
            <w:r>
              <w:rPr>
                <w:bCs w:val="0"/>
                <w:color w:val="auto"/>
              </w:rPr>
              <w:t>3#脉冲式布袋除尘器</w:t>
            </w:r>
          </w:p>
        </w:tc>
        <w:tc>
          <w:tcPr>
            <w:tcW w:w="705" w:type="pct"/>
            <w:vMerge w:val="continue"/>
            <w:noWrap w:val="0"/>
            <w:vAlign w:val="center"/>
          </w:tcPr>
          <w:p w14:paraId="7A88DAB6">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r>
      <w:tr w14:paraId="4B4AD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2D8872F7">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62D5D09D">
            <w:pPr>
              <w:pStyle w:val="36"/>
              <w:rPr>
                <w:rFonts w:hint="eastAsia"/>
                <w:color w:val="000000"/>
                <w:sz w:val="21"/>
                <w:szCs w:val="21"/>
                <w:lang w:val="en-US" w:eastAsia="zh-CN"/>
              </w:rPr>
            </w:pPr>
            <w:r>
              <w:rPr>
                <w:color w:val="auto"/>
                <w:sz w:val="21"/>
                <w:szCs w:val="21"/>
              </w:rPr>
              <w:t>2#成品仓</w:t>
            </w:r>
          </w:p>
        </w:tc>
        <w:tc>
          <w:tcPr>
            <w:tcW w:w="945" w:type="pct"/>
            <w:vMerge w:val="continue"/>
            <w:noWrap w:val="0"/>
            <w:vAlign w:val="center"/>
          </w:tcPr>
          <w:p w14:paraId="4C5B57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olor w:val="000000"/>
                <w:sz w:val="21"/>
                <w:szCs w:val="21"/>
                <w:lang w:val="en-US" w:eastAsia="zh-CN"/>
              </w:rPr>
            </w:pPr>
          </w:p>
        </w:tc>
        <w:tc>
          <w:tcPr>
            <w:tcW w:w="1816" w:type="dxa"/>
            <w:noWrap w:val="0"/>
            <w:vAlign w:val="center"/>
          </w:tcPr>
          <w:p w14:paraId="2CFAD349">
            <w:pPr>
              <w:pStyle w:val="36"/>
              <w:rPr>
                <w:rFonts w:hint="eastAsia"/>
                <w:color w:val="000000"/>
                <w:sz w:val="21"/>
                <w:szCs w:val="21"/>
                <w:lang w:val="en-US" w:eastAsia="zh-CN"/>
              </w:rPr>
            </w:pPr>
            <w:r>
              <w:rPr>
                <w:color w:val="auto"/>
                <w:sz w:val="21"/>
                <w:szCs w:val="21"/>
              </w:rPr>
              <w:t>2#成品仓</w:t>
            </w:r>
          </w:p>
        </w:tc>
        <w:tc>
          <w:tcPr>
            <w:tcW w:w="1816" w:type="dxa"/>
            <w:vMerge w:val="continue"/>
            <w:noWrap w:val="0"/>
            <w:vAlign w:val="center"/>
          </w:tcPr>
          <w:p w14:paraId="3774E9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olor w:val="000000"/>
                <w:sz w:val="21"/>
                <w:szCs w:val="21"/>
                <w:lang w:val="en-US" w:eastAsia="zh-CN"/>
              </w:rPr>
            </w:pPr>
          </w:p>
        </w:tc>
        <w:tc>
          <w:tcPr>
            <w:tcW w:w="705" w:type="pct"/>
            <w:vMerge w:val="continue"/>
            <w:noWrap w:val="0"/>
            <w:vAlign w:val="center"/>
          </w:tcPr>
          <w:p w14:paraId="2D2A24DA">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r>
      <w:tr w14:paraId="588F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30C4EC33">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5A2692D7">
            <w:pPr>
              <w:pStyle w:val="36"/>
              <w:rPr>
                <w:rFonts w:hint="eastAsia"/>
                <w:color w:val="000000"/>
                <w:sz w:val="21"/>
                <w:szCs w:val="21"/>
                <w:lang w:val="en-US" w:eastAsia="zh-CN"/>
              </w:rPr>
            </w:pPr>
            <w:r>
              <w:rPr>
                <w:color w:val="auto"/>
                <w:sz w:val="21"/>
                <w:szCs w:val="21"/>
              </w:rPr>
              <w:t>3#成品仓</w:t>
            </w:r>
          </w:p>
        </w:tc>
        <w:tc>
          <w:tcPr>
            <w:tcW w:w="945" w:type="pct"/>
            <w:vMerge w:val="continue"/>
            <w:noWrap w:val="0"/>
            <w:vAlign w:val="center"/>
          </w:tcPr>
          <w:p w14:paraId="3417D4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olor w:val="000000"/>
                <w:sz w:val="21"/>
                <w:szCs w:val="21"/>
                <w:lang w:val="en-US" w:eastAsia="zh-CN"/>
              </w:rPr>
            </w:pPr>
          </w:p>
        </w:tc>
        <w:tc>
          <w:tcPr>
            <w:tcW w:w="1816" w:type="dxa"/>
            <w:noWrap w:val="0"/>
            <w:vAlign w:val="center"/>
          </w:tcPr>
          <w:p w14:paraId="26BDF478">
            <w:pPr>
              <w:pStyle w:val="36"/>
              <w:rPr>
                <w:rFonts w:hint="eastAsia"/>
                <w:color w:val="000000"/>
                <w:sz w:val="21"/>
                <w:szCs w:val="21"/>
                <w:lang w:val="en-US" w:eastAsia="zh-CN"/>
              </w:rPr>
            </w:pPr>
            <w:r>
              <w:rPr>
                <w:color w:val="auto"/>
                <w:sz w:val="21"/>
                <w:szCs w:val="21"/>
              </w:rPr>
              <w:t>3#成品仓</w:t>
            </w:r>
          </w:p>
        </w:tc>
        <w:tc>
          <w:tcPr>
            <w:tcW w:w="1816" w:type="dxa"/>
            <w:vMerge w:val="continue"/>
            <w:noWrap w:val="0"/>
            <w:vAlign w:val="center"/>
          </w:tcPr>
          <w:p w14:paraId="4E7EDD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olor w:val="000000"/>
                <w:sz w:val="21"/>
                <w:szCs w:val="21"/>
                <w:lang w:val="en-US" w:eastAsia="zh-CN"/>
              </w:rPr>
            </w:pPr>
          </w:p>
        </w:tc>
        <w:tc>
          <w:tcPr>
            <w:tcW w:w="705" w:type="pct"/>
            <w:vMerge w:val="continue"/>
            <w:noWrap w:val="0"/>
            <w:vAlign w:val="center"/>
          </w:tcPr>
          <w:p w14:paraId="55E83A11">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r>
      <w:tr w14:paraId="1F1A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7508F218">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02068364">
            <w:pPr>
              <w:pStyle w:val="36"/>
              <w:rPr>
                <w:rFonts w:hint="default" w:ascii="Times New Roman" w:hAnsi="Times New Roman" w:eastAsia="宋体" w:cs="Times New Roman"/>
                <w:color w:val="auto"/>
                <w:sz w:val="21"/>
                <w:szCs w:val="21"/>
                <w:lang w:val="en-US" w:eastAsia="zh-CN"/>
              </w:rPr>
            </w:pPr>
            <w:r>
              <w:rPr>
                <w:color w:val="auto"/>
                <w:sz w:val="21"/>
                <w:szCs w:val="21"/>
              </w:rPr>
              <w:t>4#成品仓</w:t>
            </w:r>
          </w:p>
        </w:tc>
        <w:tc>
          <w:tcPr>
            <w:tcW w:w="1806" w:type="dxa"/>
            <w:noWrap w:val="0"/>
            <w:vAlign w:val="center"/>
          </w:tcPr>
          <w:p w14:paraId="4110B5FB">
            <w:pPr>
              <w:pStyle w:val="35"/>
              <w:rPr>
                <w:rFonts w:hint="default" w:ascii="Times New Roman" w:hAnsi="Times New Roman" w:cs="Times New Roman"/>
                <w:color w:val="000000"/>
                <w:sz w:val="21"/>
                <w:szCs w:val="21"/>
                <w:vertAlign w:val="baseline"/>
                <w:lang w:val="en-US" w:eastAsia="zh-CN"/>
              </w:rPr>
            </w:pPr>
            <w:r>
              <w:rPr>
                <w:bCs w:val="0"/>
                <w:color w:val="auto"/>
              </w:rPr>
              <w:t>4#脉冲式布袋除尘器</w:t>
            </w:r>
          </w:p>
        </w:tc>
        <w:tc>
          <w:tcPr>
            <w:tcW w:w="1816" w:type="dxa"/>
            <w:noWrap w:val="0"/>
            <w:vAlign w:val="center"/>
          </w:tcPr>
          <w:p w14:paraId="4969072E">
            <w:pPr>
              <w:pStyle w:val="36"/>
              <w:rPr>
                <w:rFonts w:hint="default" w:ascii="Times New Roman" w:hAnsi="Times New Roman" w:cs="Times New Roman"/>
                <w:color w:val="000000"/>
                <w:sz w:val="21"/>
                <w:szCs w:val="21"/>
                <w:vertAlign w:val="baseline"/>
                <w:lang w:val="en-US" w:eastAsia="zh-CN"/>
              </w:rPr>
            </w:pPr>
            <w:r>
              <w:rPr>
                <w:color w:val="auto"/>
                <w:sz w:val="21"/>
                <w:szCs w:val="21"/>
              </w:rPr>
              <w:t>4#成品仓</w:t>
            </w:r>
          </w:p>
        </w:tc>
        <w:tc>
          <w:tcPr>
            <w:tcW w:w="1816" w:type="dxa"/>
            <w:noWrap w:val="0"/>
            <w:vAlign w:val="center"/>
          </w:tcPr>
          <w:p w14:paraId="6704162E">
            <w:pPr>
              <w:pStyle w:val="35"/>
              <w:rPr>
                <w:rFonts w:hint="default" w:ascii="Times New Roman" w:hAnsi="Times New Roman" w:cs="Times New Roman"/>
                <w:color w:val="000000"/>
                <w:sz w:val="21"/>
                <w:szCs w:val="21"/>
                <w:vertAlign w:val="baseline"/>
                <w:lang w:val="en-US" w:eastAsia="zh-CN"/>
              </w:rPr>
            </w:pPr>
            <w:r>
              <w:rPr>
                <w:bCs w:val="0"/>
                <w:color w:val="auto"/>
              </w:rPr>
              <w:t>4#脉冲式布袋除尘器</w:t>
            </w:r>
          </w:p>
        </w:tc>
        <w:tc>
          <w:tcPr>
            <w:tcW w:w="705" w:type="pct"/>
            <w:noWrap w:val="0"/>
            <w:vAlign w:val="center"/>
          </w:tcPr>
          <w:p w14:paraId="6F08DFF4">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color w:val="000000"/>
                <w:sz w:val="21"/>
                <w:szCs w:val="21"/>
                <w:lang w:val="en-US" w:eastAsia="zh-CN"/>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0306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3C6668F4">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06CB41A4">
            <w:pPr>
              <w:pStyle w:val="36"/>
              <w:rPr>
                <w:rFonts w:hint="eastAsia" w:ascii="Times New Roman" w:hAnsi="Times New Roman" w:eastAsia="宋体" w:cs="Times New Roman"/>
                <w:color w:val="auto"/>
                <w:sz w:val="21"/>
                <w:szCs w:val="21"/>
                <w:lang w:val="en-US" w:eastAsia="zh-CN"/>
              </w:rPr>
            </w:pPr>
            <w:r>
              <w:rPr>
                <w:color w:val="auto"/>
                <w:sz w:val="21"/>
                <w:szCs w:val="21"/>
              </w:rPr>
              <w:t>消化仓</w:t>
            </w:r>
          </w:p>
        </w:tc>
        <w:tc>
          <w:tcPr>
            <w:tcW w:w="1806" w:type="dxa"/>
            <w:noWrap w:val="0"/>
            <w:vAlign w:val="center"/>
          </w:tcPr>
          <w:p w14:paraId="3827979A">
            <w:pPr>
              <w:pStyle w:val="35"/>
              <w:rPr>
                <w:rFonts w:hint="eastAsia"/>
                <w:color w:val="auto"/>
                <w:lang w:val="en-US" w:eastAsia="zh-CN"/>
              </w:rPr>
            </w:pPr>
            <w:r>
              <w:rPr>
                <w:bCs w:val="0"/>
                <w:color w:val="auto"/>
              </w:rPr>
              <w:t>5#脉冲式布袋除尘器</w:t>
            </w:r>
          </w:p>
        </w:tc>
        <w:tc>
          <w:tcPr>
            <w:tcW w:w="1816" w:type="dxa"/>
            <w:noWrap w:val="0"/>
            <w:vAlign w:val="center"/>
          </w:tcPr>
          <w:p w14:paraId="797DDF5F">
            <w:pPr>
              <w:pStyle w:val="36"/>
              <w:rPr>
                <w:rFonts w:hint="eastAsia" w:ascii="Times New Roman" w:hAnsi="Times New Roman" w:eastAsia="宋体" w:cs="Times New Roman"/>
                <w:color w:val="auto"/>
                <w:sz w:val="21"/>
                <w:szCs w:val="21"/>
                <w:lang w:val="en-US" w:eastAsia="zh-CN"/>
              </w:rPr>
            </w:pPr>
            <w:r>
              <w:rPr>
                <w:color w:val="auto"/>
                <w:sz w:val="21"/>
                <w:szCs w:val="21"/>
              </w:rPr>
              <w:t>消化仓</w:t>
            </w:r>
          </w:p>
        </w:tc>
        <w:tc>
          <w:tcPr>
            <w:tcW w:w="1816" w:type="dxa"/>
            <w:noWrap w:val="0"/>
            <w:vAlign w:val="center"/>
          </w:tcPr>
          <w:p w14:paraId="50713683">
            <w:pPr>
              <w:pStyle w:val="35"/>
              <w:rPr>
                <w:rFonts w:hint="eastAsia"/>
                <w:color w:val="auto"/>
                <w:lang w:val="en-US" w:eastAsia="zh-CN"/>
              </w:rPr>
            </w:pPr>
            <w:r>
              <w:rPr>
                <w:bCs w:val="0"/>
                <w:color w:val="auto"/>
              </w:rPr>
              <w:t>5#脉冲式布袋除尘器</w:t>
            </w:r>
          </w:p>
        </w:tc>
        <w:tc>
          <w:tcPr>
            <w:tcW w:w="705" w:type="pct"/>
            <w:noWrap w:val="0"/>
            <w:vAlign w:val="center"/>
          </w:tcPr>
          <w:p w14:paraId="67DCFD70">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18055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4FBAC7E0">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10A32BD7">
            <w:pPr>
              <w:pStyle w:val="36"/>
              <w:rPr>
                <w:rFonts w:hint="eastAsia" w:ascii="Times New Roman" w:hAnsi="Times New Roman" w:eastAsia="宋体" w:cs="Times New Roman"/>
                <w:color w:val="auto"/>
                <w:sz w:val="21"/>
                <w:szCs w:val="21"/>
                <w:lang w:val="en-US" w:eastAsia="zh-CN"/>
              </w:rPr>
            </w:pPr>
            <w:r>
              <w:rPr>
                <w:color w:val="auto"/>
                <w:sz w:val="21"/>
                <w:szCs w:val="21"/>
              </w:rPr>
              <w:t>分选DA003</w:t>
            </w:r>
          </w:p>
        </w:tc>
        <w:tc>
          <w:tcPr>
            <w:tcW w:w="1806" w:type="dxa"/>
            <w:noWrap w:val="0"/>
            <w:vAlign w:val="center"/>
          </w:tcPr>
          <w:p w14:paraId="3F2AEFC1">
            <w:pPr>
              <w:pStyle w:val="35"/>
              <w:rPr>
                <w:rFonts w:hint="eastAsia"/>
                <w:color w:val="auto"/>
                <w:lang w:val="en-US" w:eastAsia="zh-CN"/>
              </w:rPr>
            </w:pPr>
            <w:r>
              <w:rPr>
                <w:bCs w:val="0"/>
                <w:color w:val="auto"/>
              </w:rPr>
              <w:t>6#脉冲式布袋除尘器</w:t>
            </w:r>
          </w:p>
        </w:tc>
        <w:tc>
          <w:tcPr>
            <w:tcW w:w="1816" w:type="dxa"/>
            <w:noWrap w:val="0"/>
            <w:vAlign w:val="center"/>
          </w:tcPr>
          <w:p w14:paraId="1E25013A">
            <w:pPr>
              <w:pStyle w:val="36"/>
              <w:rPr>
                <w:rFonts w:hint="eastAsia" w:ascii="Times New Roman" w:hAnsi="Times New Roman" w:eastAsia="宋体" w:cs="Times New Roman"/>
                <w:color w:val="auto"/>
                <w:sz w:val="21"/>
                <w:szCs w:val="21"/>
                <w:lang w:val="en-US" w:eastAsia="zh-CN"/>
              </w:rPr>
            </w:pPr>
            <w:r>
              <w:rPr>
                <w:color w:val="auto"/>
                <w:sz w:val="21"/>
                <w:szCs w:val="21"/>
              </w:rPr>
              <w:t>分选DA003</w:t>
            </w:r>
          </w:p>
        </w:tc>
        <w:tc>
          <w:tcPr>
            <w:tcW w:w="1816" w:type="dxa"/>
            <w:noWrap w:val="0"/>
            <w:vAlign w:val="center"/>
          </w:tcPr>
          <w:p w14:paraId="4BD9FD55">
            <w:pPr>
              <w:pStyle w:val="35"/>
              <w:rPr>
                <w:rFonts w:hint="eastAsia"/>
                <w:color w:val="auto"/>
                <w:lang w:val="en-US" w:eastAsia="zh-CN"/>
              </w:rPr>
            </w:pPr>
            <w:r>
              <w:rPr>
                <w:bCs w:val="0"/>
                <w:color w:val="auto"/>
              </w:rPr>
              <w:t>6#脉冲式布袋除尘器</w:t>
            </w:r>
          </w:p>
        </w:tc>
        <w:tc>
          <w:tcPr>
            <w:tcW w:w="705" w:type="pct"/>
            <w:noWrap w:val="0"/>
            <w:vAlign w:val="center"/>
          </w:tcPr>
          <w:p w14:paraId="439584DC">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0131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5CAB325B">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4205733A">
            <w:pPr>
              <w:pStyle w:val="36"/>
              <w:rPr>
                <w:rFonts w:hint="eastAsia" w:ascii="Times New Roman" w:hAnsi="Times New Roman" w:eastAsia="宋体" w:cs="Times New Roman"/>
                <w:color w:val="auto"/>
                <w:sz w:val="21"/>
                <w:szCs w:val="21"/>
                <w:lang w:val="en-US" w:eastAsia="zh-CN"/>
              </w:rPr>
            </w:pPr>
            <w:r>
              <w:rPr>
                <w:color w:val="auto"/>
                <w:sz w:val="21"/>
                <w:szCs w:val="21"/>
              </w:rPr>
              <w:t>研磨DA00</w:t>
            </w:r>
            <w:r>
              <w:rPr>
                <w:rFonts w:hint="eastAsia"/>
                <w:color w:val="auto"/>
                <w:sz w:val="21"/>
                <w:szCs w:val="21"/>
                <w:lang w:val="en-US" w:eastAsia="zh-CN"/>
              </w:rPr>
              <w:t>3</w:t>
            </w:r>
          </w:p>
        </w:tc>
        <w:tc>
          <w:tcPr>
            <w:tcW w:w="1806" w:type="dxa"/>
            <w:noWrap w:val="0"/>
            <w:vAlign w:val="center"/>
          </w:tcPr>
          <w:p w14:paraId="15761755">
            <w:pPr>
              <w:pStyle w:val="35"/>
              <w:rPr>
                <w:rFonts w:hint="eastAsia"/>
                <w:color w:val="auto"/>
                <w:lang w:val="en-US" w:eastAsia="zh-CN"/>
              </w:rPr>
            </w:pPr>
            <w:r>
              <w:rPr>
                <w:bCs w:val="0"/>
                <w:color w:val="auto"/>
              </w:rPr>
              <w:t>7#脉冲式布袋除尘器</w:t>
            </w:r>
          </w:p>
        </w:tc>
        <w:tc>
          <w:tcPr>
            <w:tcW w:w="1816" w:type="dxa"/>
            <w:noWrap w:val="0"/>
            <w:vAlign w:val="center"/>
          </w:tcPr>
          <w:p w14:paraId="410BA91B">
            <w:pPr>
              <w:pStyle w:val="36"/>
              <w:rPr>
                <w:rFonts w:hint="eastAsia" w:ascii="Times New Roman" w:hAnsi="Times New Roman" w:eastAsia="宋体" w:cs="Times New Roman"/>
                <w:color w:val="auto"/>
                <w:sz w:val="21"/>
                <w:szCs w:val="21"/>
                <w:lang w:val="en-US" w:eastAsia="zh-CN"/>
              </w:rPr>
            </w:pPr>
            <w:r>
              <w:rPr>
                <w:color w:val="auto"/>
                <w:sz w:val="21"/>
                <w:szCs w:val="21"/>
              </w:rPr>
              <w:t>研磨DA00</w:t>
            </w:r>
            <w:r>
              <w:rPr>
                <w:rFonts w:hint="eastAsia"/>
                <w:color w:val="auto"/>
                <w:sz w:val="21"/>
                <w:szCs w:val="21"/>
                <w:lang w:val="en-US" w:eastAsia="zh-CN"/>
              </w:rPr>
              <w:t>3</w:t>
            </w:r>
          </w:p>
        </w:tc>
        <w:tc>
          <w:tcPr>
            <w:tcW w:w="1816" w:type="dxa"/>
            <w:noWrap w:val="0"/>
            <w:vAlign w:val="center"/>
          </w:tcPr>
          <w:p w14:paraId="6FCDE179">
            <w:pPr>
              <w:pStyle w:val="35"/>
              <w:rPr>
                <w:rFonts w:hint="eastAsia"/>
                <w:color w:val="auto"/>
                <w:lang w:val="en-US" w:eastAsia="zh-CN"/>
              </w:rPr>
            </w:pPr>
            <w:r>
              <w:rPr>
                <w:bCs w:val="0"/>
                <w:color w:val="auto"/>
              </w:rPr>
              <w:t>7#脉冲式布袋除尘器</w:t>
            </w:r>
          </w:p>
        </w:tc>
        <w:tc>
          <w:tcPr>
            <w:tcW w:w="705" w:type="pct"/>
            <w:noWrap w:val="0"/>
            <w:vAlign w:val="center"/>
          </w:tcPr>
          <w:p w14:paraId="517AB203">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5F0E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0E206739">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0A138B5F">
            <w:pPr>
              <w:pStyle w:val="36"/>
              <w:rPr>
                <w:rFonts w:hint="eastAsia" w:ascii="Times New Roman" w:hAnsi="Times New Roman" w:eastAsia="宋体" w:cs="Times New Roman"/>
                <w:color w:val="auto"/>
                <w:sz w:val="21"/>
                <w:szCs w:val="21"/>
                <w:lang w:val="en-US" w:eastAsia="zh-CN"/>
              </w:rPr>
            </w:pPr>
            <w:r>
              <w:rPr>
                <w:color w:val="auto"/>
                <w:sz w:val="21"/>
                <w:szCs w:val="21"/>
              </w:rPr>
              <w:t>输送提升DA00</w:t>
            </w:r>
            <w:r>
              <w:rPr>
                <w:rFonts w:hint="eastAsia"/>
                <w:color w:val="auto"/>
                <w:sz w:val="21"/>
                <w:szCs w:val="21"/>
                <w:lang w:val="en-US" w:eastAsia="zh-CN"/>
              </w:rPr>
              <w:t>3</w:t>
            </w:r>
          </w:p>
        </w:tc>
        <w:tc>
          <w:tcPr>
            <w:tcW w:w="1806" w:type="dxa"/>
            <w:noWrap w:val="0"/>
            <w:vAlign w:val="center"/>
          </w:tcPr>
          <w:p w14:paraId="5BB5B4F0">
            <w:pPr>
              <w:pStyle w:val="35"/>
              <w:rPr>
                <w:rFonts w:hint="eastAsia"/>
                <w:color w:val="auto"/>
                <w:lang w:val="en-US" w:eastAsia="zh-CN"/>
              </w:rPr>
            </w:pPr>
            <w:r>
              <w:rPr>
                <w:bCs w:val="0"/>
                <w:color w:val="auto"/>
              </w:rPr>
              <w:t>8#脉冲式布袋除尘器+15m高排气筒</w:t>
            </w:r>
            <w:r>
              <w:rPr>
                <w:rFonts w:hint="eastAsia"/>
                <w:bCs w:val="0"/>
                <w:color w:val="auto"/>
                <w:lang w:eastAsia="zh-CN"/>
              </w:rPr>
              <w:t>（</w:t>
            </w:r>
            <w:r>
              <w:rPr>
                <w:rFonts w:hint="eastAsia"/>
                <w:bCs w:val="0"/>
                <w:color w:val="auto"/>
                <w:lang w:val="en-US" w:eastAsia="zh-CN"/>
              </w:rPr>
              <w:t>DA003</w:t>
            </w:r>
            <w:r>
              <w:rPr>
                <w:rFonts w:hint="eastAsia"/>
                <w:bCs w:val="0"/>
                <w:color w:val="auto"/>
                <w:lang w:eastAsia="zh-CN"/>
              </w:rPr>
              <w:t>）</w:t>
            </w:r>
          </w:p>
        </w:tc>
        <w:tc>
          <w:tcPr>
            <w:tcW w:w="1816" w:type="dxa"/>
            <w:noWrap w:val="0"/>
            <w:vAlign w:val="center"/>
          </w:tcPr>
          <w:p w14:paraId="2A8DCBEA">
            <w:pPr>
              <w:pStyle w:val="36"/>
              <w:rPr>
                <w:rFonts w:hint="eastAsia" w:ascii="Times New Roman" w:hAnsi="Times New Roman" w:eastAsia="宋体" w:cs="Times New Roman"/>
                <w:color w:val="auto"/>
                <w:sz w:val="21"/>
                <w:szCs w:val="21"/>
                <w:lang w:val="en-US" w:eastAsia="zh-CN"/>
              </w:rPr>
            </w:pPr>
            <w:r>
              <w:rPr>
                <w:color w:val="auto"/>
                <w:sz w:val="21"/>
                <w:szCs w:val="21"/>
              </w:rPr>
              <w:t>输送提升DA00</w:t>
            </w:r>
            <w:r>
              <w:rPr>
                <w:rFonts w:hint="eastAsia"/>
                <w:color w:val="auto"/>
                <w:sz w:val="21"/>
                <w:szCs w:val="21"/>
                <w:lang w:val="en-US" w:eastAsia="zh-CN"/>
              </w:rPr>
              <w:t>3</w:t>
            </w:r>
          </w:p>
        </w:tc>
        <w:tc>
          <w:tcPr>
            <w:tcW w:w="1816" w:type="dxa"/>
            <w:noWrap w:val="0"/>
            <w:vAlign w:val="center"/>
          </w:tcPr>
          <w:p w14:paraId="25CEFAF4">
            <w:pPr>
              <w:pStyle w:val="35"/>
              <w:rPr>
                <w:rFonts w:hint="eastAsia"/>
                <w:color w:val="auto"/>
                <w:lang w:val="en-US" w:eastAsia="zh-CN"/>
              </w:rPr>
            </w:pPr>
            <w:r>
              <w:rPr>
                <w:bCs w:val="0"/>
                <w:color w:val="auto"/>
              </w:rPr>
              <w:t>8#脉冲式布袋除尘器+15m高排气筒</w:t>
            </w:r>
            <w:r>
              <w:rPr>
                <w:rFonts w:hint="eastAsia"/>
                <w:bCs w:val="0"/>
                <w:color w:val="auto"/>
                <w:lang w:eastAsia="zh-CN"/>
              </w:rPr>
              <w:t>（</w:t>
            </w:r>
            <w:r>
              <w:rPr>
                <w:rFonts w:hint="eastAsia"/>
                <w:bCs w:val="0"/>
                <w:color w:val="auto"/>
                <w:lang w:val="en-US" w:eastAsia="zh-CN"/>
              </w:rPr>
              <w:t>DA003</w:t>
            </w:r>
            <w:r>
              <w:rPr>
                <w:rFonts w:hint="eastAsia"/>
                <w:bCs w:val="0"/>
                <w:color w:val="auto"/>
                <w:lang w:eastAsia="zh-CN"/>
              </w:rPr>
              <w:t>）</w:t>
            </w:r>
          </w:p>
        </w:tc>
        <w:tc>
          <w:tcPr>
            <w:tcW w:w="705" w:type="pct"/>
            <w:noWrap w:val="0"/>
            <w:vAlign w:val="center"/>
          </w:tcPr>
          <w:p w14:paraId="38138654">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232B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4D2C2162">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264C6FE9">
            <w:pPr>
              <w:pStyle w:val="36"/>
              <w:rPr>
                <w:rFonts w:hint="eastAsia" w:ascii="Times New Roman" w:hAnsi="Times New Roman" w:eastAsia="宋体" w:cs="Times New Roman"/>
                <w:color w:val="auto"/>
                <w:sz w:val="21"/>
                <w:szCs w:val="21"/>
                <w:lang w:val="en-US" w:eastAsia="zh-CN"/>
              </w:rPr>
            </w:pPr>
            <w:r>
              <w:rPr>
                <w:color w:val="auto"/>
                <w:sz w:val="21"/>
                <w:szCs w:val="21"/>
              </w:rPr>
              <w:t>厂界无组织</w:t>
            </w:r>
          </w:p>
        </w:tc>
        <w:tc>
          <w:tcPr>
            <w:tcW w:w="1806" w:type="dxa"/>
            <w:noWrap w:val="0"/>
            <w:vAlign w:val="center"/>
          </w:tcPr>
          <w:p w14:paraId="279454D0">
            <w:pPr>
              <w:pStyle w:val="35"/>
              <w:rPr>
                <w:rFonts w:hint="eastAsia"/>
                <w:color w:val="auto"/>
                <w:lang w:val="en-US" w:eastAsia="zh-CN"/>
              </w:rPr>
            </w:pPr>
            <w:r>
              <w:rPr>
                <w:bCs w:val="0"/>
                <w:color w:val="auto"/>
              </w:rPr>
              <w:t>9#脉冲式布袋除尘器+15m高排气筒</w:t>
            </w:r>
            <w:r>
              <w:rPr>
                <w:rFonts w:hint="eastAsia"/>
                <w:bCs w:val="0"/>
                <w:color w:val="auto"/>
                <w:lang w:eastAsia="zh-CN"/>
              </w:rPr>
              <w:t>（</w:t>
            </w:r>
            <w:r>
              <w:rPr>
                <w:rFonts w:hint="eastAsia"/>
                <w:bCs w:val="0"/>
                <w:color w:val="auto"/>
                <w:lang w:val="en-US" w:eastAsia="zh-CN"/>
              </w:rPr>
              <w:t>DA003</w:t>
            </w:r>
            <w:r>
              <w:rPr>
                <w:rFonts w:hint="eastAsia"/>
                <w:bCs w:val="0"/>
                <w:color w:val="auto"/>
                <w:lang w:eastAsia="zh-CN"/>
              </w:rPr>
              <w:t>）</w:t>
            </w:r>
          </w:p>
        </w:tc>
        <w:tc>
          <w:tcPr>
            <w:tcW w:w="1816" w:type="dxa"/>
            <w:noWrap w:val="0"/>
            <w:vAlign w:val="center"/>
          </w:tcPr>
          <w:p w14:paraId="2D6D01E4">
            <w:pPr>
              <w:pStyle w:val="36"/>
              <w:rPr>
                <w:rFonts w:hint="eastAsia" w:ascii="Times New Roman" w:hAnsi="Times New Roman" w:eastAsia="宋体" w:cs="Times New Roman"/>
                <w:color w:val="auto"/>
                <w:sz w:val="21"/>
                <w:szCs w:val="21"/>
                <w:lang w:val="en-US" w:eastAsia="zh-CN"/>
              </w:rPr>
            </w:pPr>
            <w:r>
              <w:rPr>
                <w:color w:val="auto"/>
                <w:sz w:val="21"/>
                <w:szCs w:val="21"/>
              </w:rPr>
              <w:t>厂界无组织</w:t>
            </w:r>
          </w:p>
        </w:tc>
        <w:tc>
          <w:tcPr>
            <w:tcW w:w="1816" w:type="dxa"/>
            <w:noWrap w:val="0"/>
            <w:vAlign w:val="center"/>
          </w:tcPr>
          <w:p w14:paraId="26B34CB2">
            <w:pPr>
              <w:pStyle w:val="35"/>
              <w:rPr>
                <w:rFonts w:hint="eastAsia"/>
                <w:color w:val="auto"/>
                <w:lang w:val="en-US" w:eastAsia="zh-CN"/>
              </w:rPr>
            </w:pPr>
            <w:r>
              <w:rPr>
                <w:bCs w:val="0"/>
                <w:color w:val="auto"/>
              </w:rPr>
              <w:t>9#脉冲式布袋除尘器+15m高排气筒</w:t>
            </w:r>
            <w:r>
              <w:rPr>
                <w:rFonts w:hint="eastAsia"/>
                <w:bCs w:val="0"/>
                <w:color w:val="auto"/>
                <w:lang w:eastAsia="zh-CN"/>
              </w:rPr>
              <w:t>（</w:t>
            </w:r>
            <w:r>
              <w:rPr>
                <w:rFonts w:hint="eastAsia"/>
                <w:bCs w:val="0"/>
                <w:color w:val="auto"/>
                <w:lang w:val="en-US" w:eastAsia="zh-CN"/>
              </w:rPr>
              <w:t>DA003</w:t>
            </w:r>
            <w:r>
              <w:rPr>
                <w:rFonts w:hint="eastAsia"/>
                <w:bCs w:val="0"/>
                <w:color w:val="auto"/>
                <w:lang w:eastAsia="zh-CN"/>
              </w:rPr>
              <w:t>）</w:t>
            </w:r>
          </w:p>
        </w:tc>
        <w:tc>
          <w:tcPr>
            <w:tcW w:w="705" w:type="pct"/>
            <w:noWrap w:val="0"/>
            <w:vAlign w:val="center"/>
          </w:tcPr>
          <w:p w14:paraId="06BF2F2F">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65018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5E35892A">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0FA39F2E">
            <w:pPr>
              <w:pStyle w:val="36"/>
              <w:rPr>
                <w:rFonts w:hint="eastAsia" w:ascii="Times New Roman" w:hAnsi="Times New Roman" w:eastAsia="宋体" w:cs="Times New Roman"/>
                <w:color w:val="auto"/>
                <w:sz w:val="21"/>
                <w:szCs w:val="21"/>
                <w:lang w:val="en-US" w:eastAsia="zh-CN"/>
              </w:rPr>
            </w:pPr>
            <w:r>
              <w:rPr>
                <w:color w:val="auto"/>
                <w:sz w:val="21"/>
                <w:szCs w:val="21"/>
              </w:rPr>
              <w:t>成品石灰除尘器DA002</w:t>
            </w:r>
          </w:p>
        </w:tc>
        <w:tc>
          <w:tcPr>
            <w:tcW w:w="1806" w:type="dxa"/>
            <w:noWrap w:val="0"/>
            <w:vAlign w:val="center"/>
          </w:tcPr>
          <w:p w14:paraId="3A2D9AF4">
            <w:pPr>
              <w:pStyle w:val="35"/>
              <w:rPr>
                <w:rFonts w:hint="eastAsia"/>
                <w:color w:val="auto"/>
                <w:lang w:val="en-US" w:eastAsia="zh-CN"/>
              </w:rPr>
            </w:pPr>
            <w:r>
              <w:rPr>
                <w:bCs w:val="0"/>
                <w:color w:val="auto"/>
              </w:rPr>
              <w:t>4个集气罩+10#布袋式除尘器+15m高排气筒</w:t>
            </w:r>
            <w:r>
              <w:rPr>
                <w:rFonts w:hint="eastAsia"/>
                <w:bCs w:val="0"/>
                <w:color w:val="auto"/>
                <w:lang w:eastAsia="zh-CN"/>
              </w:rPr>
              <w:t>（</w:t>
            </w:r>
            <w:r>
              <w:rPr>
                <w:rFonts w:hint="eastAsia"/>
                <w:bCs w:val="0"/>
                <w:color w:val="auto"/>
                <w:lang w:val="en-US" w:eastAsia="zh-CN"/>
              </w:rPr>
              <w:t>DA003</w:t>
            </w:r>
            <w:r>
              <w:rPr>
                <w:rFonts w:hint="eastAsia"/>
                <w:bCs w:val="0"/>
                <w:color w:val="auto"/>
                <w:lang w:eastAsia="zh-CN"/>
              </w:rPr>
              <w:t>）</w:t>
            </w:r>
          </w:p>
        </w:tc>
        <w:tc>
          <w:tcPr>
            <w:tcW w:w="1816" w:type="dxa"/>
            <w:noWrap w:val="0"/>
            <w:vAlign w:val="center"/>
          </w:tcPr>
          <w:p w14:paraId="5E8ADA19">
            <w:pPr>
              <w:pStyle w:val="36"/>
              <w:rPr>
                <w:rFonts w:hint="eastAsia" w:ascii="Times New Roman" w:hAnsi="Times New Roman" w:eastAsia="宋体" w:cs="Times New Roman"/>
                <w:color w:val="auto"/>
                <w:sz w:val="21"/>
                <w:szCs w:val="21"/>
                <w:lang w:val="en-US" w:eastAsia="zh-CN"/>
              </w:rPr>
            </w:pPr>
            <w:r>
              <w:rPr>
                <w:color w:val="auto"/>
                <w:sz w:val="21"/>
                <w:szCs w:val="21"/>
              </w:rPr>
              <w:t>成品石灰除尘器DA002</w:t>
            </w:r>
          </w:p>
        </w:tc>
        <w:tc>
          <w:tcPr>
            <w:tcW w:w="1816" w:type="dxa"/>
            <w:noWrap w:val="0"/>
            <w:vAlign w:val="center"/>
          </w:tcPr>
          <w:p w14:paraId="627B8C5B">
            <w:pPr>
              <w:pStyle w:val="35"/>
              <w:rPr>
                <w:rFonts w:hint="eastAsia"/>
                <w:color w:val="auto"/>
                <w:lang w:val="en-US" w:eastAsia="zh-CN"/>
              </w:rPr>
            </w:pPr>
            <w:r>
              <w:rPr>
                <w:bCs w:val="0"/>
                <w:color w:val="auto"/>
              </w:rPr>
              <w:t>4个集气罩+10#布袋式除尘器+15m高排气筒</w:t>
            </w:r>
            <w:r>
              <w:rPr>
                <w:rFonts w:hint="eastAsia"/>
                <w:bCs w:val="0"/>
                <w:color w:val="auto"/>
                <w:lang w:eastAsia="zh-CN"/>
              </w:rPr>
              <w:t>（</w:t>
            </w:r>
            <w:r>
              <w:rPr>
                <w:rFonts w:hint="eastAsia"/>
                <w:bCs w:val="0"/>
                <w:color w:val="auto"/>
                <w:lang w:val="en-US" w:eastAsia="zh-CN"/>
              </w:rPr>
              <w:t>DA003</w:t>
            </w:r>
            <w:r>
              <w:rPr>
                <w:rFonts w:hint="eastAsia"/>
                <w:bCs w:val="0"/>
                <w:color w:val="auto"/>
                <w:lang w:eastAsia="zh-CN"/>
              </w:rPr>
              <w:t>）</w:t>
            </w:r>
          </w:p>
        </w:tc>
        <w:tc>
          <w:tcPr>
            <w:tcW w:w="705" w:type="pct"/>
            <w:noWrap w:val="0"/>
            <w:vAlign w:val="center"/>
          </w:tcPr>
          <w:p w14:paraId="5DDB1148">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5D70B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3554B383">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691553E2">
            <w:pPr>
              <w:pStyle w:val="36"/>
              <w:rPr>
                <w:rFonts w:hint="eastAsia" w:ascii="Times New Roman" w:hAnsi="Times New Roman" w:eastAsia="宋体" w:cs="Times New Roman"/>
                <w:color w:val="auto"/>
                <w:sz w:val="21"/>
                <w:szCs w:val="21"/>
                <w:lang w:val="en-US" w:eastAsia="zh-CN"/>
              </w:rPr>
            </w:pPr>
            <w:r>
              <w:rPr>
                <w:color w:val="auto"/>
                <w:sz w:val="21"/>
                <w:szCs w:val="21"/>
              </w:rPr>
              <w:t>石灰窑DA001</w:t>
            </w:r>
          </w:p>
        </w:tc>
        <w:tc>
          <w:tcPr>
            <w:tcW w:w="1806" w:type="dxa"/>
            <w:noWrap w:val="0"/>
            <w:vAlign w:val="center"/>
          </w:tcPr>
          <w:p w14:paraId="1883ED22">
            <w:pPr>
              <w:pStyle w:val="36"/>
              <w:rPr>
                <w:rFonts w:hint="eastAsia"/>
                <w:color w:val="auto"/>
                <w:lang w:val="en-US" w:eastAsia="zh-CN"/>
              </w:rPr>
            </w:pPr>
            <w:r>
              <w:rPr>
                <w:color w:val="auto"/>
                <w:sz w:val="21"/>
                <w:szCs w:val="21"/>
              </w:rPr>
              <w:t>提高收集效率，加强车间通风</w:t>
            </w:r>
          </w:p>
        </w:tc>
        <w:tc>
          <w:tcPr>
            <w:tcW w:w="1816" w:type="dxa"/>
            <w:noWrap w:val="0"/>
            <w:vAlign w:val="center"/>
          </w:tcPr>
          <w:p w14:paraId="5D45366D">
            <w:pPr>
              <w:pStyle w:val="36"/>
              <w:rPr>
                <w:rFonts w:hint="eastAsia" w:ascii="Times New Roman" w:hAnsi="Times New Roman" w:eastAsia="宋体" w:cs="Times New Roman"/>
                <w:color w:val="auto"/>
                <w:sz w:val="21"/>
                <w:szCs w:val="21"/>
                <w:lang w:val="en-US" w:eastAsia="zh-CN"/>
              </w:rPr>
            </w:pPr>
            <w:r>
              <w:rPr>
                <w:color w:val="auto"/>
                <w:sz w:val="21"/>
                <w:szCs w:val="21"/>
              </w:rPr>
              <w:t>石灰窑DA001</w:t>
            </w:r>
          </w:p>
        </w:tc>
        <w:tc>
          <w:tcPr>
            <w:tcW w:w="1816" w:type="dxa"/>
            <w:noWrap w:val="0"/>
            <w:vAlign w:val="center"/>
          </w:tcPr>
          <w:p w14:paraId="626DE9E5">
            <w:pPr>
              <w:pStyle w:val="36"/>
              <w:rPr>
                <w:rFonts w:hint="eastAsia"/>
                <w:color w:val="auto"/>
                <w:lang w:val="en-US" w:eastAsia="zh-CN"/>
              </w:rPr>
            </w:pPr>
            <w:r>
              <w:rPr>
                <w:color w:val="auto"/>
                <w:sz w:val="21"/>
                <w:szCs w:val="21"/>
              </w:rPr>
              <w:t>提高收集效率，加强车间通风</w:t>
            </w:r>
          </w:p>
        </w:tc>
        <w:tc>
          <w:tcPr>
            <w:tcW w:w="705" w:type="pct"/>
            <w:noWrap w:val="0"/>
            <w:vAlign w:val="center"/>
          </w:tcPr>
          <w:p w14:paraId="4E3BECE4">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56C2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05" w:type="pct"/>
            <w:vMerge w:val="continue"/>
            <w:noWrap w:val="0"/>
            <w:vAlign w:val="center"/>
          </w:tcPr>
          <w:p w14:paraId="08432B96">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color w:val="000000"/>
                <w:sz w:val="21"/>
                <w:szCs w:val="21"/>
                <w:lang w:val="en-US" w:eastAsia="zh-CN"/>
              </w:rPr>
            </w:pPr>
          </w:p>
        </w:tc>
        <w:tc>
          <w:tcPr>
            <w:tcW w:w="943" w:type="pct"/>
            <w:noWrap w:val="0"/>
            <w:vAlign w:val="center"/>
          </w:tcPr>
          <w:p w14:paraId="5D94559F">
            <w:pPr>
              <w:pStyle w:val="36"/>
              <w:rPr>
                <w:rFonts w:hint="eastAsia" w:ascii="Times New Roman" w:hAnsi="Times New Roman" w:eastAsia="宋体" w:cs="Times New Roman"/>
                <w:color w:val="auto"/>
                <w:sz w:val="21"/>
                <w:szCs w:val="21"/>
                <w:lang w:val="en-US" w:eastAsia="zh-CN"/>
              </w:rPr>
            </w:pPr>
            <w:r>
              <w:rPr>
                <w:color w:val="auto"/>
                <w:sz w:val="21"/>
                <w:szCs w:val="21"/>
              </w:rPr>
              <w:t>食堂油烟</w:t>
            </w:r>
          </w:p>
        </w:tc>
        <w:tc>
          <w:tcPr>
            <w:tcW w:w="1806" w:type="dxa"/>
            <w:noWrap w:val="0"/>
            <w:vAlign w:val="center"/>
          </w:tcPr>
          <w:p w14:paraId="247351DE">
            <w:pPr>
              <w:pStyle w:val="36"/>
              <w:rPr>
                <w:rFonts w:hint="eastAsia"/>
                <w:color w:val="auto"/>
                <w:lang w:val="en-US" w:eastAsia="zh-CN"/>
              </w:rPr>
            </w:pPr>
            <w:r>
              <w:rPr>
                <w:color w:val="auto"/>
                <w:sz w:val="21"/>
                <w:szCs w:val="21"/>
              </w:rPr>
              <w:t>原项目已有：集气罩+1布袋式除尘器+15m高排气筒</w:t>
            </w:r>
          </w:p>
        </w:tc>
        <w:tc>
          <w:tcPr>
            <w:tcW w:w="1816" w:type="dxa"/>
            <w:noWrap w:val="0"/>
            <w:vAlign w:val="center"/>
          </w:tcPr>
          <w:p w14:paraId="4D4BAE8E">
            <w:pPr>
              <w:pStyle w:val="36"/>
              <w:rPr>
                <w:rFonts w:hint="eastAsia" w:ascii="Times New Roman" w:hAnsi="Times New Roman" w:eastAsia="宋体" w:cs="Times New Roman"/>
                <w:color w:val="auto"/>
                <w:sz w:val="21"/>
                <w:szCs w:val="21"/>
                <w:lang w:val="en-US" w:eastAsia="zh-CN"/>
              </w:rPr>
            </w:pPr>
            <w:r>
              <w:rPr>
                <w:color w:val="auto"/>
                <w:sz w:val="21"/>
                <w:szCs w:val="21"/>
              </w:rPr>
              <w:t>食堂油烟</w:t>
            </w:r>
          </w:p>
        </w:tc>
        <w:tc>
          <w:tcPr>
            <w:tcW w:w="1816" w:type="dxa"/>
            <w:noWrap w:val="0"/>
            <w:vAlign w:val="center"/>
          </w:tcPr>
          <w:p w14:paraId="10BD6FDE">
            <w:pPr>
              <w:pStyle w:val="36"/>
              <w:rPr>
                <w:rFonts w:hint="eastAsia"/>
                <w:color w:val="auto"/>
                <w:lang w:val="en-US" w:eastAsia="zh-CN"/>
              </w:rPr>
            </w:pPr>
            <w:r>
              <w:rPr>
                <w:color w:val="auto"/>
                <w:sz w:val="21"/>
                <w:szCs w:val="21"/>
              </w:rPr>
              <w:t>原项目已有：集气罩+1布袋式除尘器+15m高排气筒</w:t>
            </w:r>
          </w:p>
        </w:tc>
        <w:tc>
          <w:tcPr>
            <w:tcW w:w="705" w:type="pct"/>
            <w:noWrap w:val="0"/>
            <w:vAlign w:val="center"/>
          </w:tcPr>
          <w:p w14:paraId="0391CF0C">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79718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5" w:type="pct"/>
            <w:noWrap w:val="0"/>
            <w:vAlign w:val="center"/>
          </w:tcPr>
          <w:p w14:paraId="4AFF8813">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噪声</w:t>
            </w:r>
          </w:p>
        </w:tc>
        <w:tc>
          <w:tcPr>
            <w:tcW w:w="1888" w:type="pct"/>
            <w:gridSpan w:val="2"/>
            <w:noWrap w:val="0"/>
            <w:vAlign w:val="center"/>
          </w:tcPr>
          <w:p w14:paraId="262C16F3">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color w:val="auto"/>
                <w:sz w:val="21"/>
                <w:szCs w:val="21"/>
              </w:rPr>
              <w:t>选用低噪设备、采取基础减振、消声等措施</w:t>
            </w:r>
          </w:p>
        </w:tc>
        <w:tc>
          <w:tcPr>
            <w:tcW w:w="1900" w:type="pct"/>
            <w:gridSpan w:val="2"/>
            <w:noWrap w:val="0"/>
            <w:vAlign w:val="center"/>
          </w:tcPr>
          <w:p w14:paraId="09AF3F71">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pPr>
            <w:r>
              <w:rPr>
                <w:color w:val="auto"/>
                <w:sz w:val="21"/>
                <w:szCs w:val="21"/>
              </w:rPr>
              <w:t>选用低噪设备、采取基础减振、消声等措施</w:t>
            </w:r>
          </w:p>
        </w:tc>
        <w:tc>
          <w:tcPr>
            <w:tcW w:w="705" w:type="pct"/>
            <w:noWrap w:val="0"/>
            <w:vAlign w:val="center"/>
          </w:tcPr>
          <w:p w14:paraId="63F7272B">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4ECE7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505" w:type="pct"/>
            <w:noWrap w:val="0"/>
            <w:vAlign w:val="center"/>
          </w:tcPr>
          <w:p w14:paraId="3FBF391D">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固体</w:t>
            </w:r>
          </w:p>
          <w:p w14:paraId="495857EE">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废物</w:t>
            </w:r>
          </w:p>
        </w:tc>
        <w:tc>
          <w:tcPr>
            <w:tcW w:w="1888" w:type="pct"/>
            <w:gridSpan w:val="2"/>
            <w:noWrap w:val="0"/>
            <w:vAlign w:val="center"/>
          </w:tcPr>
          <w:p w14:paraId="001D8848">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olor w:val="auto"/>
                <w:sz w:val="21"/>
                <w:szCs w:val="21"/>
                <w:lang w:eastAsia="zh-CN"/>
              </w:rPr>
              <w:t>危险废物贮存点</w:t>
            </w:r>
            <w:r>
              <w:rPr>
                <w:color w:val="auto"/>
                <w:sz w:val="21"/>
                <w:szCs w:val="21"/>
              </w:rPr>
              <w:t>：</w:t>
            </w:r>
            <w:r>
              <w:rPr>
                <w:rFonts w:hint="eastAsia"/>
                <w:color w:val="auto"/>
                <w:sz w:val="21"/>
                <w:szCs w:val="21"/>
                <w:lang w:eastAsia="zh-CN"/>
              </w:rPr>
              <w:t>危险废物贮存点</w:t>
            </w:r>
            <w:r>
              <w:rPr>
                <w:color w:val="auto"/>
                <w:sz w:val="21"/>
                <w:szCs w:val="21"/>
              </w:rPr>
              <w:t>（面积10m</w:t>
            </w:r>
            <w:r>
              <w:rPr>
                <w:color w:val="auto"/>
                <w:sz w:val="21"/>
                <w:szCs w:val="21"/>
                <w:vertAlign w:val="superscript"/>
              </w:rPr>
              <w:t>2</w:t>
            </w:r>
            <w:r>
              <w:rPr>
                <w:color w:val="auto"/>
                <w:sz w:val="21"/>
                <w:szCs w:val="21"/>
              </w:rPr>
              <w:t>）位于食堂西侧，采用重点防渗措施。危废贮存库按《危险废物贮存污染控制标准》（GB18597-2023）要求进行设置，采取防风、防雨、防晒、防扬散、防流失、防渗漏及其他防止污染环境的措施，不得露天堆放。危险废物分区分类暂存，后交有资质的危废处置单位处置。</w:t>
            </w:r>
          </w:p>
        </w:tc>
        <w:tc>
          <w:tcPr>
            <w:tcW w:w="1900" w:type="pct"/>
            <w:gridSpan w:val="2"/>
            <w:noWrap w:val="0"/>
            <w:vAlign w:val="center"/>
          </w:tcPr>
          <w:p w14:paraId="3C71A8DB">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pPr>
            <w:r>
              <w:rPr>
                <w:rFonts w:hint="eastAsia"/>
                <w:color w:val="auto"/>
                <w:sz w:val="21"/>
                <w:szCs w:val="21"/>
                <w:lang w:eastAsia="zh-CN"/>
              </w:rPr>
              <w:t>危险废物贮存点</w:t>
            </w:r>
            <w:r>
              <w:rPr>
                <w:color w:val="auto"/>
                <w:sz w:val="21"/>
                <w:szCs w:val="21"/>
              </w:rPr>
              <w:t>：</w:t>
            </w:r>
            <w:r>
              <w:rPr>
                <w:rFonts w:hint="eastAsia"/>
                <w:color w:val="auto"/>
                <w:sz w:val="21"/>
                <w:szCs w:val="21"/>
                <w:lang w:eastAsia="zh-CN"/>
              </w:rPr>
              <w:t>危险废物贮存点</w:t>
            </w:r>
            <w:r>
              <w:rPr>
                <w:color w:val="auto"/>
                <w:sz w:val="21"/>
                <w:szCs w:val="21"/>
              </w:rPr>
              <w:t>（面积10m</w:t>
            </w:r>
            <w:r>
              <w:rPr>
                <w:color w:val="auto"/>
                <w:sz w:val="21"/>
                <w:szCs w:val="21"/>
                <w:vertAlign w:val="superscript"/>
              </w:rPr>
              <w:t>2</w:t>
            </w:r>
            <w:r>
              <w:rPr>
                <w:color w:val="auto"/>
                <w:sz w:val="21"/>
                <w:szCs w:val="21"/>
              </w:rPr>
              <w:t>）位于食堂西侧，采用重点防渗措施。危废贮存库按《危险废物贮存污染控制标准》（GB18597-2023）要求进行设置，采取防风、防雨、防晒、防扬散、防流失、防渗漏及其他防止污染环境的措施，不得露天堆放。危险废物分区分类暂存，后交有资质的危废处置单位处置。</w:t>
            </w:r>
          </w:p>
        </w:tc>
        <w:tc>
          <w:tcPr>
            <w:tcW w:w="705" w:type="pct"/>
            <w:noWrap w:val="0"/>
            <w:vAlign w:val="center"/>
          </w:tcPr>
          <w:p w14:paraId="725456DD">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725F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5" w:type="pct"/>
            <w:noWrap w:val="0"/>
            <w:vAlign w:val="center"/>
          </w:tcPr>
          <w:p w14:paraId="04CF131D">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危险</w:t>
            </w:r>
          </w:p>
          <w:p w14:paraId="5D952FA8">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废物</w:t>
            </w:r>
          </w:p>
        </w:tc>
        <w:tc>
          <w:tcPr>
            <w:tcW w:w="1888" w:type="pct"/>
            <w:gridSpan w:val="2"/>
            <w:noWrap w:val="0"/>
            <w:vAlign w:val="center"/>
          </w:tcPr>
          <w:p w14:paraId="72D94CE7">
            <w:pPr>
              <w:pStyle w:val="32"/>
              <w:ind w:firstLine="480"/>
              <w:rPr>
                <w:rFonts w:hint="eastAsia" w:ascii="Times New Roman" w:hAnsi="Times New Roman" w:cs="Times New Roman" w:eastAsiaTheme="minorEastAsia"/>
                <w:color w:val="000000"/>
                <w:kern w:val="2"/>
                <w:sz w:val="21"/>
                <w:szCs w:val="21"/>
                <w:vertAlign w:val="baseline"/>
                <w:lang w:val="en-US" w:eastAsia="zh-CN" w:bidi="ar-SA"/>
              </w:rPr>
            </w:pPr>
            <w:r>
              <w:rPr>
                <w:rFonts w:hint="eastAsia"/>
                <w:color w:val="auto"/>
                <w:sz w:val="21"/>
                <w:szCs w:val="21"/>
                <w:lang w:eastAsia="zh-CN"/>
              </w:rPr>
              <w:t>危险废物贮存点</w:t>
            </w:r>
            <w:r>
              <w:rPr>
                <w:color w:val="auto"/>
                <w:sz w:val="21"/>
                <w:szCs w:val="21"/>
              </w:rPr>
              <w:t>：</w:t>
            </w:r>
            <w:r>
              <w:rPr>
                <w:rFonts w:hint="eastAsia"/>
                <w:color w:val="auto"/>
                <w:sz w:val="21"/>
                <w:szCs w:val="21"/>
                <w:lang w:eastAsia="zh-CN"/>
              </w:rPr>
              <w:t>危险废物贮存点</w:t>
            </w:r>
            <w:r>
              <w:rPr>
                <w:color w:val="auto"/>
                <w:sz w:val="21"/>
                <w:szCs w:val="21"/>
              </w:rPr>
              <w:t>（面积10m</w:t>
            </w:r>
            <w:r>
              <w:rPr>
                <w:color w:val="auto"/>
                <w:sz w:val="21"/>
                <w:szCs w:val="21"/>
                <w:vertAlign w:val="superscript"/>
              </w:rPr>
              <w:t>2</w:t>
            </w:r>
            <w:r>
              <w:rPr>
                <w:color w:val="auto"/>
                <w:sz w:val="21"/>
                <w:szCs w:val="21"/>
              </w:rPr>
              <w:t>）位于食堂西侧，采用重点防渗措施。危废贮存库按《危险废物贮存污染控制标准》（GB18597-2023）要求进行设置，采取防风、防雨、防晒、防扬散、防流失、防渗漏及其他防止污染环境的措施，不得露天堆放。危险废物分区分类暂存，后交有资质的危废处置单位处置。</w:t>
            </w:r>
          </w:p>
        </w:tc>
        <w:tc>
          <w:tcPr>
            <w:tcW w:w="1900" w:type="pct"/>
            <w:gridSpan w:val="2"/>
            <w:noWrap w:val="0"/>
            <w:vAlign w:val="center"/>
          </w:tcPr>
          <w:p w14:paraId="659687CC">
            <w:pPr>
              <w:pStyle w:val="32"/>
              <w:ind w:firstLine="480"/>
              <w:rPr>
                <w:rFonts w:hint="eastAsia" w:ascii="Times New Roman" w:hAnsi="Times New Roman" w:cs="Times New Roman" w:eastAsiaTheme="minorEastAsia"/>
                <w:color w:val="000000"/>
                <w:kern w:val="2"/>
                <w:sz w:val="21"/>
                <w:szCs w:val="21"/>
                <w:vertAlign w:val="baseline"/>
                <w:lang w:val="en-US" w:eastAsia="zh-CN" w:bidi="ar-SA"/>
              </w:rPr>
            </w:pPr>
            <w:r>
              <w:rPr>
                <w:rFonts w:hint="eastAsia"/>
                <w:color w:val="auto"/>
                <w:sz w:val="21"/>
                <w:szCs w:val="21"/>
                <w:lang w:eastAsia="zh-CN"/>
              </w:rPr>
              <w:t>危险废物贮存点</w:t>
            </w:r>
            <w:r>
              <w:rPr>
                <w:color w:val="auto"/>
                <w:sz w:val="21"/>
                <w:szCs w:val="21"/>
              </w:rPr>
              <w:t>：</w:t>
            </w:r>
            <w:r>
              <w:rPr>
                <w:rFonts w:hint="eastAsia"/>
                <w:color w:val="auto"/>
                <w:sz w:val="21"/>
                <w:szCs w:val="21"/>
                <w:lang w:eastAsia="zh-CN"/>
              </w:rPr>
              <w:t>危险废物贮存点</w:t>
            </w:r>
            <w:r>
              <w:rPr>
                <w:color w:val="auto"/>
                <w:sz w:val="21"/>
                <w:szCs w:val="21"/>
              </w:rPr>
              <w:t>（面积10m</w:t>
            </w:r>
            <w:r>
              <w:rPr>
                <w:color w:val="auto"/>
                <w:sz w:val="21"/>
                <w:szCs w:val="21"/>
                <w:vertAlign w:val="superscript"/>
              </w:rPr>
              <w:t>2</w:t>
            </w:r>
            <w:r>
              <w:rPr>
                <w:color w:val="auto"/>
                <w:sz w:val="21"/>
                <w:szCs w:val="21"/>
              </w:rPr>
              <w:t>）位于食堂西侧，采用重点防渗措施。危废贮存库按《危险废物贮存污染控制标准》（GB18597-2023）要求进行设置，采取防风、防雨、防晒、防扬散、防流失、防渗漏及其他防止污染环境的措施，不得露天堆放。危险废物分区分类暂存，后交有资质的危废处置单位处置。</w:t>
            </w:r>
          </w:p>
        </w:tc>
        <w:tc>
          <w:tcPr>
            <w:tcW w:w="705" w:type="pct"/>
            <w:noWrap w:val="0"/>
            <w:vAlign w:val="center"/>
          </w:tcPr>
          <w:p w14:paraId="4E79447C">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3A91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5" w:type="pct"/>
            <w:noWrap w:val="0"/>
            <w:vAlign w:val="center"/>
          </w:tcPr>
          <w:p w14:paraId="2077BA4B">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土壤及地下水污染</w:t>
            </w:r>
          </w:p>
        </w:tc>
        <w:tc>
          <w:tcPr>
            <w:tcW w:w="1888" w:type="pct"/>
            <w:gridSpan w:val="2"/>
            <w:noWrap w:val="0"/>
            <w:vAlign w:val="center"/>
          </w:tcPr>
          <w:p w14:paraId="07375387">
            <w:pPr>
              <w:pStyle w:val="32"/>
              <w:ind w:firstLine="0" w:firstLineChars="0"/>
              <w:rPr>
                <w:color w:val="auto"/>
                <w:sz w:val="21"/>
                <w:szCs w:val="21"/>
              </w:rPr>
            </w:pPr>
            <w:r>
              <w:rPr>
                <w:color w:val="auto"/>
                <w:sz w:val="21"/>
                <w:szCs w:val="21"/>
              </w:rPr>
              <w:t>项目厂区采取分区防渗：</w:t>
            </w:r>
          </w:p>
          <w:p w14:paraId="2AA0473F">
            <w:pPr>
              <w:pStyle w:val="32"/>
              <w:ind w:firstLine="0" w:firstLineChars="0"/>
              <w:rPr>
                <w:color w:val="auto"/>
                <w:sz w:val="21"/>
                <w:szCs w:val="21"/>
              </w:rPr>
            </w:pPr>
            <w:r>
              <w:rPr>
                <w:color w:val="auto"/>
                <w:sz w:val="21"/>
                <w:szCs w:val="21"/>
              </w:rPr>
              <w:t>简单防控区：办公区及厂内道路一般不会产生地下水污染的区域。仅需对地面进行硬化，为防止污染区的污染物漫流到简单防渗区，需要采取有效的措施，如非污染区设置在地势较高处，或设置一定高度的围堰、边沟等。</w:t>
            </w:r>
          </w:p>
          <w:p w14:paraId="5C1E6DF1">
            <w:pPr>
              <w:pStyle w:val="32"/>
              <w:ind w:firstLine="0" w:firstLineChars="0"/>
              <w:rPr>
                <w:color w:val="auto"/>
                <w:sz w:val="21"/>
                <w:szCs w:val="21"/>
              </w:rPr>
            </w:pPr>
            <w:r>
              <w:rPr>
                <w:color w:val="auto"/>
                <w:sz w:val="21"/>
                <w:szCs w:val="21"/>
              </w:rPr>
              <w:t>一般防控区：一般防渗区包括生产区、集水池。采用钢筋混凝土地面，其下铺砌砂石基层，厚度不小于200mm。</w:t>
            </w:r>
          </w:p>
          <w:p w14:paraId="101FE6CE">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color w:val="000000"/>
                <w:sz w:val="21"/>
                <w:szCs w:val="21"/>
                <w:lang w:val="en-US" w:eastAsia="zh-CN"/>
              </w:rPr>
            </w:pPr>
            <w:r>
              <w:rPr>
                <w:color w:val="auto"/>
                <w:sz w:val="21"/>
                <w:szCs w:val="21"/>
              </w:rPr>
              <w:t>重点防控区：</w:t>
            </w:r>
            <w:r>
              <w:rPr>
                <w:rFonts w:hint="eastAsia"/>
                <w:color w:val="auto"/>
                <w:sz w:val="21"/>
                <w:szCs w:val="21"/>
                <w:lang w:eastAsia="zh-CN"/>
              </w:rPr>
              <w:t>危险废物贮存点</w:t>
            </w:r>
            <w:r>
              <w:rPr>
                <w:color w:val="auto"/>
                <w:sz w:val="21"/>
                <w:szCs w:val="21"/>
              </w:rPr>
              <w:t>、原脱硫废水沉淀池。采用2mm厚高密度聚乙烯，渗透系数≤10</w:t>
            </w:r>
            <w:r>
              <w:rPr>
                <w:color w:val="auto"/>
                <w:sz w:val="21"/>
                <w:szCs w:val="21"/>
                <w:vertAlign w:val="superscript"/>
              </w:rPr>
              <w:t>-10</w:t>
            </w:r>
            <w:r>
              <w:rPr>
                <w:color w:val="auto"/>
                <w:sz w:val="21"/>
                <w:szCs w:val="21"/>
              </w:rPr>
              <w:t>cm/s。</w:t>
            </w:r>
          </w:p>
        </w:tc>
        <w:tc>
          <w:tcPr>
            <w:tcW w:w="1900" w:type="pct"/>
            <w:gridSpan w:val="2"/>
            <w:noWrap w:val="0"/>
            <w:vAlign w:val="center"/>
          </w:tcPr>
          <w:p w14:paraId="18D08721">
            <w:pPr>
              <w:pStyle w:val="32"/>
              <w:ind w:firstLine="0" w:firstLineChars="0"/>
              <w:rPr>
                <w:color w:val="auto"/>
                <w:sz w:val="21"/>
                <w:szCs w:val="21"/>
              </w:rPr>
            </w:pPr>
            <w:r>
              <w:rPr>
                <w:color w:val="auto"/>
                <w:sz w:val="21"/>
                <w:szCs w:val="21"/>
              </w:rPr>
              <w:t>项目厂区采取分区防渗：</w:t>
            </w:r>
          </w:p>
          <w:p w14:paraId="48E5B6D3">
            <w:pPr>
              <w:pStyle w:val="32"/>
              <w:ind w:firstLine="0" w:firstLineChars="0"/>
              <w:rPr>
                <w:color w:val="auto"/>
                <w:sz w:val="21"/>
                <w:szCs w:val="21"/>
              </w:rPr>
            </w:pPr>
            <w:r>
              <w:rPr>
                <w:color w:val="auto"/>
                <w:sz w:val="21"/>
                <w:szCs w:val="21"/>
              </w:rPr>
              <w:t>简单防控区：办公区及厂内道路一般不会产生地下水污染的区域。仅需对地面进行硬化，为防止污染区的污染物漫流到简单防渗区，需要采取有效的措施，如非污染区设置在地势较高处，或设置一定高度的围堰、边沟等。</w:t>
            </w:r>
          </w:p>
          <w:p w14:paraId="567DFBA3">
            <w:pPr>
              <w:pStyle w:val="32"/>
              <w:ind w:firstLine="0" w:firstLineChars="0"/>
              <w:rPr>
                <w:color w:val="auto"/>
                <w:sz w:val="21"/>
                <w:szCs w:val="21"/>
              </w:rPr>
            </w:pPr>
            <w:r>
              <w:rPr>
                <w:color w:val="auto"/>
                <w:sz w:val="21"/>
                <w:szCs w:val="21"/>
              </w:rPr>
              <w:t>一般防控区：一般防渗区包括生产区、集水池。采用钢筋混凝土地面，其下铺砌砂石基层，厚度不小于200mm。</w:t>
            </w:r>
          </w:p>
          <w:p w14:paraId="0612715F">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color w:val="000000"/>
                <w:sz w:val="21"/>
                <w:szCs w:val="21"/>
                <w:lang w:val="en-US" w:eastAsia="zh-CN"/>
              </w:rPr>
            </w:pPr>
            <w:r>
              <w:rPr>
                <w:color w:val="auto"/>
                <w:sz w:val="21"/>
                <w:szCs w:val="21"/>
              </w:rPr>
              <w:t>重点防控区：</w:t>
            </w:r>
            <w:r>
              <w:rPr>
                <w:rFonts w:hint="eastAsia"/>
                <w:color w:val="auto"/>
                <w:sz w:val="21"/>
                <w:szCs w:val="21"/>
                <w:lang w:eastAsia="zh-CN"/>
              </w:rPr>
              <w:t>危险废物贮存点</w:t>
            </w:r>
            <w:r>
              <w:rPr>
                <w:color w:val="auto"/>
                <w:sz w:val="21"/>
                <w:szCs w:val="21"/>
              </w:rPr>
              <w:t>、原脱硫废水沉淀池。采用2mm厚高密度聚乙烯，渗透系数≤10</w:t>
            </w:r>
            <w:r>
              <w:rPr>
                <w:color w:val="auto"/>
                <w:sz w:val="21"/>
                <w:szCs w:val="21"/>
                <w:vertAlign w:val="superscript"/>
              </w:rPr>
              <w:t>-10</w:t>
            </w:r>
            <w:r>
              <w:rPr>
                <w:color w:val="auto"/>
                <w:sz w:val="21"/>
                <w:szCs w:val="21"/>
              </w:rPr>
              <w:t>cm/s。</w:t>
            </w:r>
          </w:p>
        </w:tc>
        <w:tc>
          <w:tcPr>
            <w:tcW w:w="705" w:type="pct"/>
            <w:noWrap w:val="0"/>
            <w:vAlign w:val="center"/>
          </w:tcPr>
          <w:p w14:paraId="0C696DAE">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r w14:paraId="24C87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5" w:type="pct"/>
            <w:noWrap w:val="0"/>
            <w:vAlign w:val="center"/>
          </w:tcPr>
          <w:p w14:paraId="033D97E6">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环境</w:t>
            </w:r>
          </w:p>
          <w:p w14:paraId="33653E88">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风险</w:t>
            </w:r>
          </w:p>
        </w:tc>
        <w:tc>
          <w:tcPr>
            <w:tcW w:w="1888" w:type="pct"/>
            <w:gridSpan w:val="2"/>
            <w:noWrap w:val="0"/>
            <w:vAlign w:val="center"/>
          </w:tcPr>
          <w:p w14:paraId="24A82E3F">
            <w:pPr>
              <w:pStyle w:val="32"/>
              <w:ind w:firstLine="420"/>
              <w:rPr>
                <w:color w:val="auto"/>
                <w:sz w:val="21"/>
                <w:szCs w:val="21"/>
              </w:rPr>
            </w:pPr>
            <w:r>
              <w:rPr>
                <w:color w:val="auto"/>
                <w:sz w:val="21"/>
                <w:szCs w:val="21"/>
              </w:rPr>
              <w:t>厂区内储料区、生产区及成品区均设置防渗地坪，地面采用混凝土硬化结构，并设置排水沟与收集井。消化装置区及储灰罐底部设置围堰，围堰容积不小于设备最大可能泄漏量的110%，有效防止泄漏物外溢。厂区雨污分流系统完善，雨水经排水沟引至雨水井，污水经沉淀池循环使用，不直接外排。</w:t>
            </w:r>
          </w:p>
          <w:p w14:paraId="1048E6E2">
            <w:pPr>
              <w:pStyle w:val="32"/>
              <w:ind w:firstLine="420"/>
              <w:rPr>
                <w:color w:val="auto"/>
                <w:sz w:val="21"/>
                <w:szCs w:val="21"/>
              </w:rPr>
            </w:pPr>
            <w:r>
              <w:rPr>
                <w:color w:val="auto"/>
                <w:sz w:val="21"/>
                <w:szCs w:val="21"/>
              </w:rPr>
              <w:t>为应对火灾及粉尘爆炸等突发事故，厂区设置干粉灭火器、消防栓、应急沙土、吸附棉等应急物资。主要通道保持畅通，设置明显的安全疏散标识，保证事故状态下人员可迅速撤离。厂区关键部位安装视频监控及报警装置，实时监测生产与安全状况。</w:t>
            </w:r>
            <w:r>
              <w:rPr>
                <w:bCs/>
                <w:color w:val="auto"/>
                <w:sz w:val="21"/>
                <w:szCs w:val="21"/>
              </w:rPr>
              <w:t>在厂区配备灭火毯、灭火沙子、手提式干粉灭火器等，一旦发生火灾事故，可及时有效地进行扑救。同时加强设备、管道的检修维护，加强职工的安全技术培训，增强安全防范意识。</w:t>
            </w:r>
            <w:r>
              <w:rPr>
                <w:color w:val="auto"/>
                <w:sz w:val="21"/>
                <w:szCs w:val="21"/>
              </w:rPr>
              <w:t>严格按照《建筑设计防火规范》合理布置总图，各生产和辅助装置，消防隔离带及消防通道要求参照消防相关要求建设、布置。消防通道和建筑物耐火等级应满足消防要求，在危险物品存放区设立警告牌。按照《建筑灭火器配置设计规范》（GB50140-2005）规定，应配置相应的灭火器及救灾防毒器其及防护用品。</w:t>
            </w:r>
          </w:p>
          <w:p w14:paraId="37F44564">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color w:val="000000"/>
                <w:sz w:val="21"/>
                <w:szCs w:val="21"/>
                <w:lang w:val="en-US" w:eastAsia="zh-CN"/>
              </w:rPr>
            </w:pPr>
          </w:p>
        </w:tc>
        <w:tc>
          <w:tcPr>
            <w:tcW w:w="1900" w:type="pct"/>
            <w:gridSpan w:val="2"/>
            <w:noWrap w:val="0"/>
            <w:vAlign w:val="center"/>
          </w:tcPr>
          <w:p w14:paraId="429E3452">
            <w:pPr>
              <w:pStyle w:val="32"/>
              <w:ind w:firstLine="420"/>
              <w:rPr>
                <w:color w:val="auto"/>
                <w:sz w:val="21"/>
                <w:szCs w:val="21"/>
              </w:rPr>
            </w:pPr>
            <w:r>
              <w:rPr>
                <w:color w:val="auto"/>
                <w:sz w:val="21"/>
                <w:szCs w:val="21"/>
              </w:rPr>
              <w:t>厂区内储料区、生产区及成品区均设置防渗地坪，地面采用混凝土硬化结构，并设置排水沟与收集井。消化装置区及储灰罐底部设置围堰，围堰容积不小于设备最大可能泄漏量的110%，有效防止泄漏物外溢。厂区雨污分流系统完善，雨水经排水沟引至雨水井，污水经沉淀池循环使用，不直接外排。</w:t>
            </w:r>
          </w:p>
          <w:p w14:paraId="07DE36D7">
            <w:pPr>
              <w:pStyle w:val="32"/>
              <w:ind w:firstLine="420"/>
              <w:rPr>
                <w:color w:val="auto"/>
                <w:sz w:val="21"/>
                <w:szCs w:val="21"/>
              </w:rPr>
            </w:pPr>
            <w:r>
              <w:rPr>
                <w:color w:val="auto"/>
                <w:sz w:val="21"/>
                <w:szCs w:val="21"/>
              </w:rPr>
              <w:t>为应对火灾及粉尘爆炸等突发事故，厂区设置干粉灭火器、消防栓、应急沙土、吸附棉等应急物资。主要通道保持畅通，设置明显的安全疏散标识，保证事故状态下人员可迅速撤离。厂区关键部位安装视频监控及报警装置，实时监测生产与安全状况。</w:t>
            </w:r>
            <w:r>
              <w:rPr>
                <w:bCs/>
                <w:color w:val="auto"/>
                <w:sz w:val="21"/>
                <w:szCs w:val="21"/>
              </w:rPr>
              <w:t>在厂区配备灭火毯、灭火沙子、手提式干粉灭火器等，一旦发生火灾事故，可及时有效地进行扑救。同时加强设备、管道的检修维护，加强职工的安全技术培训，增强安全防范意识。</w:t>
            </w:r>
            <w:r>
              <w:rPr>
                <w:color w:val="auto"/>
                <w:sz w:val="21"/>
                <w:szCs w:val="21"/>
              </w:rPr>
              <w:t>严格按照《建筑设计防火规范》合理布置总图，各生产和辅助装置，消防隔离带及消防通道要求参照消防相关要求建设、布置。消防通道和建筑物耐火等级应满足消防要求，在危险物品存放区设立警告牌。按照《建筑灭火器配置设计规范》（GB50140-2005）规定，应配置相应的灭火器及救灾防毒器其及防护用品。</w:t>
            </w:r>
          </w:p>
          <w:p w14:paraId="1CED43E2">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color w:val="000000"/>
                <w:sz w:val="21"/>
                <w:szCs w:val="21"/>
                <w:lang w:val="en-US" w:eastAsia="zh-CN"/>
              </w:rPr>
            </w:pPr>
          </w:p>
        </w:tc>
        <w:tc>
          <w:tcPr>
            <w:tcW w:w="705" w:type="pct"/>
            <w:noWrap w:val="0"/>
            <w:vAlign w:val="center"/>
          </w:tcPr>
          <w:p w14:paraId="26CE57D5">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无变动</w:t>
            </w:r>
          </w:p>
        </w:tc>
      </w:tr>
    </w:tbl>
    <w:p w14:paraId="4B9812FA">
      <w:pPr>
        <w:pStyle w:val="2"/>
        <w:numPr>
          <w:ilvl w:val="0"/>
          <w:numId w:val="0"/>
        </w:numPr>
      </w:pPr>
    </w:p>
    <w:p w14:paraId="115D88C6">
      <w:pPr>
        <w:pStyle w:val="25"/>
        <w:spacing w:before="0" w:beforeAutospacing="0" w:after="0" w:afterAutospacing="0" w:line="360" w:lineRule="auto"/>
        <w:ind w:firstLine="482" w:firstLineChars="200"/>
        <w:outlineLvl w:val="0"/>
        <w:rPr>
          <w:rFonts w:ascii="Times New Roman" w:hAnsi="Times New Roman" w:eastAsia="楷体_GB2312" w:cs="Times New Roman"/>
          <w:b/>
          <w:color w:val="000000"/>
        </w:rPr>
      </w:pPr>
      <w:r>
        <w:rPr>
          <w:rFonts w:hint="eastAsia" w:ascii="Times New Roman" w:hAnsi="Times New Roman" w:eastAsia="楷体_GB2312" w:cs="Times New Roman"/>
          <w:b/>
        </w:rPr>
        <w:t>四</w:t>
      </w:r>
      <w:r>
        <w:rPr>
          <w:rFonts w:ascii="Times New Roman" w:hAnsi="Times New Roman" w:eastAsia="楷体_GB2312" w:cs="Times New Roman"/>
          <w:b/>
        </w:rPr>
        <w:t>、</w:t>
      </w:r>
      <w:r>
        <w:rPr>
          <w:rFonts w:ascii="Times New Roman" w:hAnsi="Times New Roman" w:eastAsia="楷体_GB2312" w:cs="Times New Roman"/>
          <w:b/>
          <w:color w:val="000000"/>
        </w:rPr>
        <w:t>环境保护设施调试效果</w:t>
      </w:r>
    </w:p>
    <w:p w14:paraId="4C54DF9B">
      <w:pPr>
        <w:widowControl/>
        <w:spacing w:line="360" w:lineRule="auto"/>
        <w:ind w:firstLine="480" w:firstLineChars="200"/>
        <w:jc w:val="left"/>
        <w:rPr>
          <w:rFonts w:ascii="Times New Roman" w:hAnsi="Times New Roman" w:eastAsia="楷体_GB2312" w:cs="Times New Roman"/>
          <w:bCs/>
          <w:color w:val="000000"/>
          <w:sz w:val="24"/>
          <w:szCs w:val="24"/>
        </w:rPr>
      </w:pPr>
      <w:r>
        <w:rPr>
          <w:rFonts w:hint="eastAsia" w:ascii="Times New Roman" w:hAnsi="Times New Roman" w:eastAsia="楷体_GB2312" w:cs="Times New Roman"/>
          <w:bCs/>
          <w:color w:val="000000"/>
          <w:sz w:val="24"/>
          <w:szCs w:val="24"/>
        </w:rPr>
        <w:t>项目委托重庆东生笙环境监测有限公司监测</w:t>
      </w:r>
      <w:r>
        <w:rPr>
          <w:rFonts w:ascii="Times New Roman" w:hAnsi="Times New Roman" w:eastAsia="楷体_GB2312" w:cs="Times New Roman"/>
          <w:bCs/>
          <w:color w:val="000000"/>
          <w:sz w:val="24"/>
          <w:szCs w:val="24"/>
        </w:rPr>
        <w:t>，</w:t>
      </w:r>
      <w:r>
        <w:rPr>
          <w:rFonts w:hint="eastAsia" w:ascii="Times New Roman" w:hAnsi="Times New Roman" w:eastAsia="楷体_GB2312" w:cs="Times New Roman"/>
          <w:bCs/>
          <w:color w:val="000000"/>
          <w:sz w:val="24"/>
          <w:szCs w:val="24"/>
        </w:rPr>
        <w:t>验收</w:t>
      </w:r>
      <w:r>
        <w:rPr>
          <w:rFonts w:ascii="Times New Roman" w:hAnsi="Times New Roman" w:eastAsia="楷体_GB2312" w:cs="Times New Roman"/>
          <w:bCs/>
          <w:color w:val="000000"/>
          <w:sz w:val="24"/>
          <w:szCs w:val="24"/>
        </w:rPr>
        <w:t>监测期间生产负荷稳定，环保设施正常运行，满足验收监测规范要求。</w:t>
      </w:r>
    </w:p>
    <w:p w14:paraId="4173FC7F">
      <w:pPr>
        <w:spacing w:line="360" w:lineRule="auto"/>
        <w:ind w:firstLine="480" w:firstLineChars="200"/>
        <w:rPr>
          <w:rFonts w:hint="eastAsia" w:ascii="Times New Roman" w:hAnsi="Times New Roman" w:eastAsia="楷体_GB2312" w:cs="Times New Roman"/>
          <w:bCs/>
          <w:color w:val="000000"/>
          <w:sz w:val="24"/>
          <w:szCs w:val="24"/>
        </w:rPr>
      </w:pPr>
      <w:r>
        <w:rPr>
          <w:rFonts w:hint="eastAsia" w:ascii="Times New Roman" w:hAnsi="Times New Roman" w:eastAsia="楷体_GB2312" w:cs="Times New Roman"/>
          <w:bCs/>
          <w:color w:val="000000"/>
          <w:sz w:val="24"/>
          <w:szCs w:val="24"/>
        </w:rPr>
        <w:t>（1）</w:t>
      </w:r>
      <w:r>
        <w:rPr>
          <w:rFonts w:ascii="Times New Roman" w:hAnsi="Times New Roman" w:eastAsia="楷体_GB2312" w:cs="Times New Roman"/>
          <w:bCs/>
          <w:color w:val="000000"/>
          <w:sz w:val="24"/>
          <w:szCs w:val="24"/>
        </w:rPr>
        <w:t>废气</w:t>
      </w:r>
    </w:p>
    <w:p w14:paraId="19AA6A3B">
      <w:pPr>
        <w:spacing w:line="360" w:lineRule="auto"/>
        <w:ind w:firstLine="480" w:firstLineChars="200"/>
        <w:rPr>
          <w:rFonts w:ascii="Times New Roman" w:hAnsi="Times New Roman" w:eastAsia="楷体_GB2312" w:cs="Times New Roman"/>
          <w:bCs/>
          <w:color w:val="000000"/>
          <w:sz w:val="24"/>
          <w:szCs w:val="24"/>
        </w:rPr>
      </w:pPr>
      <w:r>
        <w:rPr>
          <w:rFonts w:hint="eastAsia" w:ascii="Times New Roman" w:hAnsi="Times New Roman" w:eastAsia="楷体_GB2312" w:cs="Times New Roman"/>
          <w:bCs/>
          <w:color w:val="000000"/>
          <w:sz w:val="24"/>
          <w:szCs w:val="24"/>
        </w:rPr>
        <w:t>验收监测期间，废气排放满足《重庆市大气污染物综合排放标准》（</w:t>
      </w:r>
      <w:r>
        <w:rPr>
          <w:rFonts w:ascii="Times New Roman" w:hAnsi="Times New Roman" w:eastAsia="楷体_GB2312" w:cs="Times New Roman"/>
          <w:bCs/>
          <w:color w:val="000000"/>
          <w:sz w:val="24"/>
          <w:szCs w:val="24"/>
        </w:rPr>
        <w:t>DB50/418-2016）中颗粒物</w:t>
      </w:r>
      <w:r>
        <w:rPr>
          <w:rFonts w:hint="eastAsia" w:ascii="Times New Roman" w:hAnsi="Times New Roman" w:eastAsia="楷体_GB2312" w:cs="Times New Roman"/>
          <w:bCs/>
          <w:color w:val="000000"/>
          <w:sz w:val="24"/>
          <w:szCs w:val="24"/>
          <w:lang w:val="en-US" w:eastAsia="zh-CN"/>
        </w:rPr>
        <w:t>有组织、</w:t>
      </w:r>
      <w:r>
        <w:rPr>
          <w:rFonts w:ascii="Times New Roman" w:hAnsi="Times New Roman" w:eastAsia="楷体_GB2312" w:cs="Times New Roman"/>
          <w:bCs/>
          <w:color w:val="000000"/>
          <w:sz w:val="24"/>
          <w:szCs w:val="24"/>
        </w:rPr>
        <w:t>无组织排放标准要求。</w:t>
      </w:r>
    </w:p>
    <w:p w14:paraId="39BA27F6">
      <w:pPr>
        <w:spacing w:line="360" w:lineRule="auto"/>
        <w:ind w:firstLine="480" w:firstLineChars="200"/>
        <w:rPr>
          <w:rFonts w:ascii="Times New Roman" w:hAnsi="Times New Roman" w:eastAsia="楷体_GB2312" w:cs="Times New Roman"/>
          <w:bCs/>
          <w:color w:val="000000"/>
          <w:sz w:val="24"/>
          <w:szCs w:val="24"/>
        </w:rPr>
      </w:pPr>
      <w:r>
        <w:rPr>
          <w:rFonts w:hint="eastAsia" w:ascii="Times New Roman" w:hAnsi="Times New Roman" w:eastAsia="楷体_GB2312" w:cs="Times New Roman"/>
          <w:bCs/>
          <w:color w:val="000000"/>
          <w:sz w:val="24"/>
          <w:szCs w:val="24"/>
        </w:rPr>
        <w:t>（</w:t>
      </w:r>
      <w:r>
        <w:rPr>
          <w:rFonts w:ascii="Times New Roman" w:hAnsi="Times New Roman" w:eastAsia="楷体_GB2312" w:cs="Times New Roman"/>
          <w:bCs/>
          <w:color w:val="000000"/>
          <w:sz w:val="24"/>
          <w:szCs w:val="24"/>
        </w:rPr>
        <w:t>2）噪声</w:t>
      </w:r>
    </w:p>
    <w:p w14:paraId="359BC9A1">
      <w:pPr>
        <w:spacing w:line="360" w:lineRule="auto"/>
        <w:ind w:firstLine="480" w:firstLineChars="200"/>
        <w:rPr>
          <w:rFonts w:ascii="Times New Roman" w:hAnsi="Times New Roman" w:eastAsia="楷体_GB2312" w:cs="Times New Roman"/>
          <w:bCs/>
          <w:color w:val="000000"/>
          <w:sz w:val="24"/>
          <w:szCs w:val="24"/>
        </w:rPr>
      </w:pPr>
      <w:r>
        <w:rPr>
          <w:rFonts w:hint="eastAsia" w:ascii="Times New Roman" w:hAnsi="Times New Roman" w:eastAsia="楷体_GB2312" w:cs="Times New Roman"/>
          <w:bCs/>
          <w:color w:val="000000"/>
          <w:sz w:val="24"/>
          <w:szCs w:val="24"/>
        </w:rPr>
        <w:t>验收监测期间，厂界噪声满足《工业企业厂界环境噪声排放标准》（</w:t>
      </w:r>
      <w:r>
        <w:rPr>
          <w:rFonts w:ascii="Times New Roman" w:hAnsi="Times New Roman" w:eastAsia="楷体_GB2312" w:cs="Times New Roman"/>
          <w:bCs/>
          <w:color w:val="000000"/>
          <w:sz w:val="24"/>
          <w:szCs w:val="24"/>
        </w:rPr>
        <w:t>GB12348-2008）</w:t>
      </w:r>
      <w:r>
        <w:rPr>
          <w:rFonts w:hint="eastAsia" w:ascii="Times New Roman" w:hAnsi="Times New Roman" w:eastAsia="楷体_GB2312" w:cs="Times New Roman"/>
          <w:bCs/>
          <w:color w:val="000000"/>
          <w:sz w:val="24"/>
          <w:szCs w:val="24"/>
          <w:lang w:val="en-US" w:eastAsia="zh-CN"/>
        </w:rPr>
        <w:t>2</w:t>
      </w:r>
      <w:r>
        <w:rPr>
          <w:rFonts w:ascii="Times New Roman" w:hAnsi="Times New Roman" w:eastAsia="楷体_GB2312" w:cs="Times New Roman"/>
          <w:bCs/>
          <w:color w:val="000000"/>
          <w:sz w:val="24"/>
          <w:szCs w:val="24"/>
        </w:rPr>
        <w:t>类标准。</w:t>
      </w:r>
    </w:p>
    <w:p w14:paraId="34930758">
      <w:pPr>
        <w:spacing w:line="360" w:lineRule="auto"/>
        <w:ind w:firstLine="480" w:firstLineChars="200"/>
        <w:rPr>
          <w:rFonts w:hint="eastAsia" w:ascii="Times New Roman" w:hAnsi="Times New Roman" w:eastAsia="楷体_GB2312" w:cs="Times New Roman"/>
          <w:bCs/>
          <w:color w:val="000000"/>
          <w:sz w:val="24"/>
          <w:szCs w:val="24"/>
        </w:rPr>
      </w:pPr>
      <w:r>
        <w:rPr>
          <w:rFonts w:hint="eastAsia" w:ascii="Times New Roman" w:hAnsi="Times New Roman" w:eastAsia="楷体_GB2312" w:cs="Times New Roman"/>
          <w:bCs/>
          <w:color w:val="000000"/>
          <w:sz w:val="24"/>
          <w:szCs w:val="24"/>
        </w:rPr>
        <w:t>（</w:t>
      </w:r>
      <w:r>
        <w:rPr>
          <w:rFonts w:ascii="Times New Roman" w:hAnsi="Times New Roman" w:eastAsia="楷体_GB2312" w:cs="Times New Roman"/>
          <w:bCs/>
          <w:color w:val="000000"/>
          <w:sz w:val="24"/>
          <w:szCs w:val="24"/>
        </w:rPr>
        <w:t>3）废水</w:t>
      </w:r>
    </w:p>
    <w:p w14:paraId="5CAE5A13">
      <w:pPr>
        <w:spacing w:line="360" w:lineRule="auto"/>
        <w:ind w:firstLine="480" w:firstLineChars="200"/>
        <w:rPr>
          <w:rFonts w:hint="eastAsia" w:ascii="Times New Roman" w:hAnsi="Times New Roman" w:eastAsia="楷体_GB2312" w:cs="Times New Roman"/>
          <w:bCs/>
          <w:color w:val="000000"/>
          <w:sz w:val="24"/>
          <w:szCs w:val="24"/>
          <w:lang w:val="en-US" w:eastAsia="zh-CN"/>
        </w:rPr>
      </w:pPr>
      <w:r>
        <w:rPr>
          <w:rFonts w:hint="eastAsia" w:ascii="Times New Roman" w:hAnsi="Times New Roman" w:eastAsia="楷体_GB2312" w:cs="Times New Roman"/>
          <w:bCs/>
          <w:color w:val="000000"/>
          <w:sz w:val="24"/>
          <w:szCs w:val="24"/>
          <w:lang w:val="en-US" w:eastAsia="zh-CN"/>
        </w:rPr>
        <w:t>本项目不新增排水、不新增生活用水。</w:t>
      </w:r>
    </w:p>
    <w:p w14:paraId="5EDA4C20">
      <w:pPr>
        <w:spacing w:line="360" w:lineRule="auto"/>
        <w:ind w:firstLine="480" w:firstLineChars="200"/>
        <w:rPr>
          <w:rFonts w:ascii="Times New Roman" w:hAnsi="Times New Roman" w:eastAsia="楷体_GB2312" w:cs="Times New Roman"/>
          <w:bCs/>
          <w:color w:val="000000"/>
          <w:sz w:val="24"/>
          <w:szCs w:val="24"/>
        </w:rPr>
      </w:pPr>
      <w:r>
        <w:rPr>
          <w:rFonts w:hint="eastAsia" w:ascii="Times New Roman" w:hAnsi="Times New Roman" w:eastAsia="楷体_GB2312" w:cs="Times New Roman"/>
          <w:bCs/>
          <w:color w:val="000000"/>
          <w:sz w:val="24"/>
          <w:szCs w:val="24"/>
        </w:rPr>
        <w:t>（</w:t>
      </w:r>
      <w:r>
        <w:rPr>
          <w:rFonts w:ascii="Times New Roman" w:hAnsi="Times New Roman" w:eastAsia="楷体_GB2312" w:cs="Times New Roman"/>
          <w:bCs/>
          <w:color w:val="000000"/>
          <w:sz w:val="24"/>
          <w:szCs w:val="24"/>
        </w:rPr>
        <w:t>4）总量</w:t>
      </w:r>
    </w:p>
    <w:p w14:paraId="0A5F4F39">
      <w:pPr>
        <w:spacing w:line="360" w:lineRule="auto"/>
        <w:ind w:firstLine="480" w:firstLineChars="200"/>
        <w:rPr>
          <w:rFonts w:ascii="Times New Roman" w:hAnsi="Times New Roman" w:eastAsia="楷体_GB2312" w:cs="Times New Roman"/>
          <w:bCs/>
          <w:color w:val="000000"/>
          <w:sz w:val="24"/>
          <w:szCs w:val="24"/>
        </w:rPr>
      </w:pPr>
      <w:r>
        <w:rPr>
          <w:rFonts w:hint="eastAsia" w:ascii="Times New Roman" w:hAnsi="Times New Roman" w:eastAsia="楷体_GB2312" w:cs="Times New Roman"/>
          <w:bCs/>
          <w:color w:val="000000"/>
          <w:sz w:val="24"/>
          <w:szCs w:val="24"/>
        </w:rPr>
        <w:t>总量满足环评及批复要求。</w:t>
      </w:r>
    </w:p>
    <w:p w14:paraId="5CF61EC0">
      <w:pPr>
        <w:spacing w:line="360" w:lineRule="auto"/>
        <w:ind w:firstLine="482" w:firstLineChars="200"/>
        <w:rPr>
          <w:rFonts w:ascii="Times New Roman" w:hAnsi="Times New Roman" w:eastAsia="楷体_GB2312" w:cs="Times New Roman"/>
          <w:b/>
          <w:sz w:val="24"/>
          <w:szCs w:val="24"/>
        </w:rPr>
      </w:pPr>
      <w:r>
        <w:rPr>
          <w:rFonts w:hint="eastAsia" w:ascii="Times New Roman" w:hAnsi="Times New Roman" w:eastAsia="楷体_GB2312" w:cs="Times New Roman"/>
          <w:b/>
          <w:sz w:val="24"/>
          <w:szCs w:val="24"/>
        </w:rPr>
        <w:t>五</w:t>
      </w:r>
      <w:r>
        <w:rPr>
          <w:rFonts w:ascii="Times New Roman" w:hAnsi="Times New Roman" w:eastAsia="楷体_GB2312" w:cs="Times New Roman"/>
          <w:b/>
          <w:sz w:val="24"/>
          <w:szCs w:val="24"/>
        </w:rPr>
        <w:t>、验收组现场检查情况及结论</w:t>
      </w:r>
    </w:p>
    <w:p w14:paraId="69069F4A">
      <w:pPr>
        <w:spacing w:line="360" w:lineRule="auto"/>
        <w:ind w:firstLine="480" w:firstLineChars="200"/>
        <w:rPr>
          <w:rFonts w:ascii="Times New Roman" w:hAnsi="Times New Roman" w:eastAsia="楷体_GB2312" w:cs="Times New Roman"/>
          <w:b/>
          <w:sz w:val="24"/>
          <w:szCs w:val="24"/>
        </w:rPr>
      </w:pPr>
      <w:r>
        <w:rPr>
          <w:rFonts w:hint="eastAsia" w:ascii="Times New Roman" w:hAnsi="Times New Roman" w:eastAsia="楷体_GB2312" w:cs="Times New Roman"/>
          <w:sz w:val="24"/>
          <w:szCs w:val="24"/>
          <w:lang w:eastAsia="zh-CN"/>
        </w:rPr>
        <w:t>重庆迎邦钙业有限公司</w:t>
      </w:r>
      <w:r>
        <w:rPr>
          <w:rFonts w:hint="eastAsia" w:ascii="Times New Roman" w:hAnsi="Times New Roman" w:eastAsia="楷体_GB2312" w:cs="Times New Roman"/>
          <w:sz w:val="24"/>
          <w:szCs w:val="24"/>
        </w:rPr>
        <w:t>“</w:t>
      </w:r>
      <w:r>
        <w:rPr>
          <w:rFonts w:hint="eastAsia" w:ascii="Times New Roman" w:hAnsi="Times New Roman" w:eastAsia="楷体_GB2312" w:cs="Times New Roman"/>
          <w:sz w:val="24"/>
          <w:szCs w:val="24"/>
          <w:lang w:eastAsia="zh-CN"/>
        </w:rPr>
        <w:t>氢氧化钙生产线扩建项目</w:t>
      </w: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环保审批手续及环保资料齐全，项目环保设施及环境管理措施</w:t>
      </w:r>
      <w:r>
        <w:rPr>
          <w:rFonts w:hint="eastAsia" w:ascii="Times New Roman" w:hAnsi="Times New Roman" w:eastAsia="楷体_GB2312" w:cs="Times New Roman"/>
          <w:sz w:val="24"/>
          <w:szCs w:val="24"/>
        </w:rPr>
        <w:t>已</w:t>
      </w:r>
      <w:r>
        <w:rPr>
          <w:rFonts w:ascii="Times New Roman" w:hAnsi="Times New Roman" w:eastAsia="楷体_GB2312" w:cs="Times New Roman"/>
          <w:sz w:val="24"/>
          <w:szCs w:val="24"/>
        </w:rPr>
        <w:t>按环评及批复要求落实</w:t>
      </w:r>
      <w:r>
        <w:rPr>
          <w:rFonts w:hint="eastAsia" w:ascii="Times New Roman" w:hAnsi="Times New Roman" w:eastAsia="楷体_GB2312" w:cs="Times New Roman"/>
          <w:sz w:val="24"/>
          <w:szCs w:val="24"/>
        </w:rPr>
        <w:t>，</w:t>
      </w:r>
      <w:r>
        <w:rPr>
          <w:rFonts w:ascii="Times New Roman" w:hAnsi="Times New Roman" w:eastAsia="楷体_GB2312" w:cs="Times New Roman"/>
          <w:sz w:val="24"/>
          <w:szCs w:val="24"/>
        </w:rPr>
        <w:t>验收监测结果满足相关排放标准</w:t>
      </w:r>
      <w:r>
        <w:rPr>
          <w:rFonts w:hint="eastAsia" w:ascii="Times New Roman" w:hAnsi="Times New Roman" w:eastAsia="楷体_GB2312" w:cs="Times New Roman"/>
          <w:sz w:val="24"/>
          <w:szCs w:val="24"/>
        </w:rPr>
        <w:t>要求，</w:t>
      </w:r>
      <w:r>
        <w:rPr>
          <w:rFonts w:ascii="Times New Roman" w:hAnsi="Times New Roman" w:eastAsia="楷体_GB2312" w:cs="Times New Roman"/>
          <w:sz w:val="24"/>
          <w:szCs w:val="24"/>
        </w:rPr>
        <w:t>项目</w:t>
      </w:r>
      <w:r>
        <w:rPr>
          <w:rFonts w:hint="eastAsia" w:ascii="Times New Roman" w:hAnsi="Times New Roman" w:eastAsia="楷体_GB2312" w:cs="Times New Roman"/>
          <w:sz w:val="24"/>
          <w:szCs w:val="24"/>
        </w:rPr>
        <w:t>可以</w:t>
      </w:r>
      <w:r>
        <w:rPr>
          <w:rFonts w:ascii="Times New Roman" w:hAnsi="Times New Roman" w:eastAsia="楷体_GB2312" w:cs="Times New Roman"/>
          <w:sz w:val="24"/>
          <w:szCs w:val="24"/>
        </w:rPr>
        <w:t>通过竣工环境保护验收。</w:t>
      </w:r>
    </w:p>
    <w:p w14:paraId="3E19B72B">
      <w:pPr>
        <w:spacing w:line="360" w:lineRule="auto"/>
        <w:ind w:firstLine="482" w:firstLineChars="200"/>
        <w:rPr>
          <w:rFonts w:ascii="Times New Roman" w:hAnsi="Times New Roman" w:eastAsia="楷体_GB2312" w:cs="Times New Roman"/>
          <w:b/>
          <w:sz w:val="24"/>
          <w:szCs w:val="24"/>
        </w:rPr>
      </w:pPr>
      <w:r>
        <w:rPr>
          <w:rFonts w:hint="eastAsia" w:ascii="Times New Roman" w:hAnsi="Times New Roman" w:eastAsia="楷体_GB2312" w:cs="Times New Roman"/>
          <w:b/>
          <w:sz w:val="24"/>
          <w:szCs w:val="24"/>
        </w:rPr>
        <w:t>六</w:t>
      </w:r>
      <w:r>
        <w:rPr>
          <w:rFonts w:ascii="Times New Roman" w:hAnsi="Times New Roman" w:eastAsia="楷体_GB2312" w:cs="Times New Roman"/>
          <w:b/>
          <w:sz w:val="24"/>
          <w:szCs w:val="24"/>
        </w:rPr>
        <w:t>、建议</w:t>
      </w:r>
    </w:p>
    <w:p w14:paraId="7B94CBED">
      <w:pPr>
        <w:spacing w:line="360" w:lineRule="auto"/>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定期维护</w:t>
      </w:r>
      <w:r>
        <w:rPr>
          <w:rFonts w:hint="eastAsia" w:ascii="Times New Roman" w:hAnsi="Times New Roman" w:eastAsia="楷体_GB2312" w:cs="Times New Roman"/>
          <w:sz w:val="24"/>
          <w:szCs w:val="24"/>
        </w:rPr>
        <w:t>各项环保设施，确保其治理效率</w:t>
      </w:r>
      <w:r>
        <w:rPr>
          <w:rFonts w:ascii="Times New Roman" w:hAnsi="Times New Roman" w:eastAsia="楷体_GB2312" w:cs="Times New Roman"/>
          <w:sz w:val="24"/>
          <w:szCs w:val="24"/>
        </w:rPr>
        <w:t>。</w:t>
      </w:r>
    </w:p>
    <w:p w14:paraId="0647AF9F">
      <w:pPr>
        <w:numPr>
          <w:ilvl w:val="0"/>
          <w:numId w:val="2"/>
        </w:numPr>
        <w:spacing w:line="360" w:lineRule="auto"/>
        <w:ind w:firstLine="482" w:firstLineChars="200"/>
        <w:rPr>
          <w:rFonts w:ascii="Times New Roman" w:hAnsi="Times New Roman" w:eastAsia="楷体_GB2312" w:cs="Times New Roman"/>
          <w:b/>
          <w:sz w:val="24"/>
          <w:szCs w:val="24"/>
        </w:rPr>
      </w:pPr>
      <w:r>
        <w:rPr>
          <w:rFonts w:hint="eastAsia" w:ascii="Times New Roman" w:hAnsi="Times New Roman" w:eastAsia="楷体_GB2312" w:cs="Times New Roman"/>
          <w:b/>
          <w:sz w:val="24"/>
          <w:szCs w:val="24"/>
        </w:rPr>
        <w:t>验收成员信息</w:t>
      </w:r>
    </w:p>
    <w:p w14:paraId="07290A95">
      <w:pPr>
        <w:spacing w:line="360" w:lineRule="auto"/>
        <w:ind w:firstLine="480" w:firstLineChars="200"/>
        <w:rPr>
          <w:rFonts w:ascii="Times New Roman" w:hAnsi="Times New Roman" w:eastAsia="楷体_GB2312" w:cs="Times New Roman"/>
          <w:sz w:val="24"/>
          <w:szCs w:val="24"/>
          <w:u w:val="single"/>
        </w:rPr>
      </w:pPr>
      <w:r>
        <w:rPr>
          <w:rFonts w:hint="eastAsia" w:ascii="Times New Roman" w:hAnsi="Times New Roman" w:eastAsia="楷体_GB2312" w:cs="Times New Roman"/>
          <w:sz w:val="24"/>
          <w:szCs w:val="24"/>
        </w:rPr>
        <w:t>建设单位（盖章）：</w:t>
      </w:r>
      <w:r>
        <w:rPr>
          <w:rFonts w:hint="eastAsia" w:ascii="Times New Roman" w:hAnsi="Times New Roman" w:eastAsia="楷体_GB2312" w:cs="Times New Roman"/>
          <w:sz w:val="24"/>
          <w:szCs w:val="24"/>
          <w:u w:val="single"/>
        </w:rPr>
        <w:t xml:space="preserve">                  </w:t>
      </w:r>
      <w:r>
        <w:rPr>
          <w:rFonts w:hint="eastAsia" w:ascii="Times New Roman" w:hAnsi="Times New Roman" w:eastAsia="楷体_GB2312" w:cs="Times New Roman"/>
          <w:sz w:val="24"/>
          <w:szCs w:val="24"/>
        </w:rPr>
        <w:t>联系电话：</w:t>
      </w:r>
      <w:r>
        <w:rPr>
          <w:rFonts w:hint="eastAsia" w:ascii="Times New Roman" w:hAnsi="Times New Roman" w:eastAsia="楷体_GB2312" w:cs="Times New Roman"/>
          <w:sz w:val="24"/>
          <w:szCs w:val="24"/>
          <w:u w:val="single"/>
        </w:rPr>
        <w:t xml:space="preserve">            </w:t>
      </w:r>
    </w:p>
    <w:p w14:paraId="4C87A2DC">
      <w:pPr>
        <w:spacing w:line="360" w:lineRule="auto"/>
        <w:ind w:firstLine="480" w:firstLineChars="200"/>
        <w:rPr>
          <w:rFonts w:ascii="Times New Roman" w:hAnsi="Times New Roman" w:eastAsia="楷体_GB2312" w:cs="Times New Roman"/>
          <w:sz w:val="24"/>
          <w:szCs w:val="24"/>
          <w:u w:val="single"/>
        </w:rPr>
      </w:pPr>
      <w:r>
        <w:rPr>
          <w:rFonts w:hint="eastAsia" w:ascii="Times New Roman" w:hAnsi="Times New Roman" w:eastAsia="楷体_GB2312" w:cs="Times New Roman"/>
          <w:sz w:val="24"/>
          <w:szCs w:val="24"/>
        </w:rPr>
        <w:t>验收专家：</w:t>
      </w:r>
      <w:r>
        <w:rPr>
          <w:rFonts w:hint="eastAsia" w:ascii="Times New Roman" w:hAnsi="Times New Roman" w:eastAsia="楷体_GB2312" w:cs="Times New Roman"/>
          <w:sz w:val="24"/>
          <w:szCs w:val="24"/>
          <w:u w:val="single"/>
        </w:rPr>
        <w:t xml:space="preserve">                          </w:t>
      </w:r>
      <w:r>
        <w:rPr>
          <w:rFonts w:hint="eastAsia" w:ascii="Times New Roman" w:hAnsi="Times New Roman" w:eastAsia="楷体_GB2312" w:cs="Times New Roman"/>
          <w:sz w:val="24"/>
          <w:szCs w:val="24"/>
        </w:rPr>
        <w:t>联系电话：</w:t>
      </w:r>
      <w:r>
        <w:rPr>
          <w:rFonts w:hint="eastAsia" w:ascii="Times New Roman" w:hAnsi="Times New Roman" w:eastAsia="楷体_GB2312" w:cs="Times New Roman"/>
          <w:sz w:val="24"/>
          <w:szCs w:val="24"/>
          <w:u w:val="single"/>
        </w:rPr>
        <w:t xml:space="preserve">  </w:t>
      </w:r>
      <w:r>
        <w:rPr>
          <w:rFonts w:ascii="Times New Roman" w:hAnsi="Times New Roman" w:eastAsia="楷体_GB2312" w:cs="Times New Roman"/>
          <w:sz w:val="24"/>
          <w:szCs w:val="24"/>
          <w:u w:val="single"/>
        </w:rPr>
        <w:t xml:space="preserve"> </w:t>
      </w:r>
      <w:r>
        <w:rPr>
          <w:rFonts w:hint="eastAsia" w:ascii="Times New Roman" w:hAnsi="Times New Roman" w:eastAsia="楷体_GB2312" w:cs="Times New Roman"/>
          <w:sz w:val="24"/>
          <w:szCs w:val="24"/>
          <w:u w:val="single"/>
        </w:rPr>
        <w:t xml:space="preserve">     </w:t>
      </w:r>
      <w:r>
        <w:rPr>
          <w:rFonts w:ascii="Times New Roman" w:hAnsi="Times New Roman" w:eastAsia="楷体_GB2312" w:cs="Times New Roman"/>
          <w:sz w:val="24"/>
          <w:szCs w:val="24"/>
          <w:u w:val="single"/>
        </w:rPr>
        <w:t xml:space="preserve"> </w:t>
      </w:r>
      <w:r>
        <w:rPr>
          <w:rFonts w:hint="eastAsia" w:ascii="Times New Roman" w:hAnsi="Times New Roman" w:eastAsia="楷体_GB2312" w:cs="Times New Roman"/>
          <w:sz w:val="24"/>
          <w:szCs w:val="24"/>
          <w:u w:val="single"/>
        </w:rPr>
        <w:t xml:space="preserve">     </w:t>
      </w:r>
    </w:p>
    <w:p w14:paraId="0A7FBCA0">
      <w:pPr>
        <w:spacing w:line="360" w:lineRule="auto"/>
        <w:ind w:firstLine="480" w:firstLineChars="200"/>
        <w:rPr>
          <w:rFonts w:ascii="Times New Roman" w:hAnsi="Times New Roman" w:eastAsia="楷体_GB2312" w:cs="Times New Roman"/>
          <w:sz w:val="24"/>
          <w:szCs w:val="24"/>
          <w:u w:val="single"/>
        </w:rPr>
      </w:pPr>
      <w:r>
        <w:rPr>
          <w:rFonts w:hint="eastAsia" w:ascii="Times New Roman" w:hAnsi="Times New Roman" w:eastAsia="楷体_GB2312" w:cs="Times New Roman"/>
          <w:sz w:val="24"/>
          <w:szCs w:val="24"/>
        </w:rPr>
        <w:t>验收专家：</w:t>
      </w:r>
      <w:r>
        <w:rPr>
          <w:rFonts w:hint="eastAsia" w:ascii="Times New Roman" w:hAnsi="Times New Roman" w:eastAsia="楷体_GB2312" w:cs="Times New Roman"/>
          <w:sz w:val="24"/>
          <w:szCs w:val="24"/>
          <w:u w:val="single"/>
        </w:rPr>
        <w:t xml:space="preserve">                          </w:t>
      </w:r>
      <w:r>
        <w:rPr>
          <w:rFonts w:hint="eastAsia" w:ascii="Times New Roman" w:hAnsi="Times New Roman" w:eastAsia="楷体_GB2312" w:cs="Times New Roman"/>
          <w:sz w:val="24"/>
          <w:szCs w:val="24"/>
        </w:rPr>
        <w:t>联系电话：</w:t>
      </w:r>
      <w:r>
        <w:rPr>
          <w:rFonts w:hint="eastAsia" w:ascii="Times New Roman" w:hAnsi="Times New Roman" w:eastAsia="楷体_GB2312" w:cs="Times New Roman"/>
          <w:sz w:val="24"/>
          <w:szCs w:val="24"/>
          <w:u w:val="single"/>
        </w:rPr>
        <w:t xml:space="preserve">       </w:t>
      </w:r>
      <w:r>
        <w:rPr>
          <w:rFonts w:ascii="Times New Roman" w:hAnsi="Times New Roman" w:eastAsia="楷体_GB2312" w:cs="Times New Roman"/>
          <w:sz w:val="24"/>
          <w:szCs w:val="24"/>
          <w:u w:val="single"/>
        </w:rPr>
        <w:t xml:space="preserve">  </w:t>
      </w:r>
      <w:r>
        <w:rPr>
          <w:rFonts w:hint="eastAsia" w:ascii="Times New Roman" w:hAnsi="Times New Roman" w:eastAsia="楷体_GB2312" w:cs="Times New Roman"/>
          <w:sz w:val="24"/>
          <w:szCs w:val="24"/>
          <w:u w:val="single"/>
        </w:rPr>
        <w:t xml:space="preserve">     </w:t>
      </w:r>
    </w:p>
    <w:p w14:paraId="6173EC69">
      <w:pPr>
        <w:spacing w:before="156" w:beforeLines="50" w:line="360" w:lineRule="auto"/>
        <w:rPr>
          <w:rFonts w:ascii="楷体" w:hAnsi="楷体" w:eastAsia="楷体"/>
          <w:sz w:val="24"/>
          <w:szCs w:val="24"/>
        </w:rPr>
      </w:pPr>
    </w:p>
    <w:p w14:paraId="37417161">
      <w:pPr>
        <w:spacing w:before="156" w:beforeLines="50" w:line="360" w:lineRule="auto"/>
        <w:ind w:firstLine="5760" w:firstLineChars="2400"/>
        <w:rPr>
          <w:rFonts w:ascii="楷体" w:hAnsi="楷体" w:eastAsia="楷体"/>
          <w:sz w:val="24"/>
          <w:szCs w:val="24"/>
        </w:rPr>
      </w:pP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w:t>
      </w:r>
      <w:r>
        <w:rPr>
          <w:rFonts w:ascii="楷体" w:hAnsi="楷体" w:eastAsia="楷体"/>
          <w:sz w:val="24"/>
          <w:szCs w:val="24"/>
        </w:rPr>
        <w:t>日</w:t>
      </w:r>
    </w:p>
    <w:p w14:paraId="64A76C07">
      <w:pPr>
        <w:rPr>
          <w:rFonts w:ascii="楷体" w:hAnsi="楷体" w:eastAsia="楷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136A8">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EF4A3E">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3EF4A3E">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A4E37F"/>
    <w:multiLevelType w:val="singleLevel"/>
    <w:tmpl w:val="08A4E37F"/>
    <w:lvl w:ilvl="0" w:tentative="0">
      <w:start w:val="7"/>
      <w:numFmt w:val="chineseCounting"/>
      <w:suff w:val="nothing"/>
      <w:lvlText w:val="%1、"/>
      <w:lvlJc w:val="left"/>
      <w:rPr>
        <w:rFonts w:hint="eastAsia"/>
      </w:rPr>
    </w:lvl>
  </w:abstractNum>
  <w:abstractNum w:abstractNumId="1">
    <w:nsid w:val="4AA839D1"/>
    <w:multiLevelType w:val="singleLevel"/>
    <w:tmpl w:val="4AA839D1"/>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U2N2Q3ZjZiNzM0NmI1YzM4MGYzZGUyZjQ1MmFkYzYifQ=="/>
  </w:docVars>
  <w:rsids>
    <w:rsidRoot w:val="00937B2C"/>
    <w:rsid w:val="00006279"/>
    <w:rsid w:val="00016EA1"/>
    <w:rsid w:val="000411C4"/>
    <w:rsid w:val="00051D48"/>
    <w:rsid w:val="000A7B05"/>
    <w:rsid w:val="000D7E8A"/>
    <w:rsid w:val="000E088A"/>
    <w:rsid w:val="0012001A"/>
    <w:rsid w:val="001539ED"/>
    <w:rsid w:val="00166188"/>
    <w:rsid w:val="00172AAA"/>
    <w:rsid w:val="00181214"/>
    <w:rsid w:val="0019253C"/>
    <w:rsid w:val="001B2E38"/>
    <w:rsid w:val="0023475B"/>
    <w:rsid w:val="0028507E"/>
    <w:rsid w:val="002A488C"/>
    <w:rsid w:val="002B069A"/>
    <w:rsid w:val="002E54F4"/>
    <w:rsid w:val="002F2FA3"/>
    <w:rsid w:val="00311FBD"/>
    <w:rsid w:val="00373C75"/>
    <w:rsid w:val="003B485D"/>
    <w:rsid w:val="003F6165"/>
    <w:rsid w:val="0042581E"/>
    <w:rsid w:val="0043481E"/>
    <w:rsid w:val="004F155C"/>
    <w:rsid w:val="00502BCB"/>
    <w:rsid w:val="005D4139"/>
    <w:rsid w:val="005E3690"/>
    <w:rsid w:val="00610791"/>
    <w:rsid w:val="00683DDB"/>
    <w:rsid w:val="006926D8"/>
    <w:rsid w:val="006A3659"/>
    <w:rsid w:val="006D47C9"/>
    <w:rsid w:val="006E3437"/>
    <w:rsid w:val="0070372E"/>
    <w:rsid w:val="00746DE5"/>
    <w:rsid w:val="00751DE9"/>
    <w:rsid w:val="00774E0F"/>
    <w:rsid w:val="0078564F"/>
    <w:rsid w:val="007D0D69"/>
    <w:rsid w:val="007F0182"/>
    <w:rsid w:val="00814040"/>
    <w:rsid w:val="00835FA9"/>
    <w:rsid w:val="0089056D"/>
    <w:rsid w:val="008D5844"/>
    <w:rsid w:val="008F379A"/>
    <w:rsid w:val="00937B2C"/>
    <w:rsid w:val="00960DEC"/>
    <w:rsid w:val="009A32AE"/>
    <w:rsid w:val="009A58D9"/>
    <w:rsid w:val="009B1EF2"/>
    <w:rsid w:val="009C764B"/>
    <w:rsid w:val="00A02527"/>
    <w:rsid w:val="00A22AD4"/>
    <w:rsid w:val="00A466D2"/>
    <w:rsid w:val="00B65CE1"/>
    <w:rsid w:val="00B82108"/>
    <w:rsid w:val="00BB2DD0"/>
    <w:rsid w:val="00BD5049"/>
    <w:rsid w:val="00C06B72"/>
    <w:rsid w:val="00C5217B"/>
    <w:rsid w:val="00CD7696"/>
    <w:rsid w:val="00CE25CB"/>
    <w:rsid w:val="00CF2D49"/>
    <w:rsid w:val="00CF372D"/>
    <w:rsid w:val="00D01842"/>
    <w:rsid w:val="00D0339F"/>
    <w:rsid w:val="00D04F73"/>
    <w:rsid w:val="00D05FD0"/>
    <w:rsid w:val="00D8773A"/>
    <w:rsid w:val="00DA589F"/>
    <w:rsid w:val="00DC5AFE"/>
    <w:rsid w:val="00DF0DF8"/>
    <w:rsid w:val="00EA3CB0"/>
    <w:rsid w:val="00EC67F0"/>
    <w:rsid w:val="00F12459"/>
    <w:rsid w:val="00F32A4A"/>
    <w:rsid w:val="00F36B57"/>
    <w:rsid w:val="00F42D1F"/>
    <w:rsid w:val="00F61E14"/>
    <w:rsid w:val="00F6244F"/>
    <w:rsid w:val="00FA5E15"/>
    <w:rsid w:val="00FD0CA9"/>
    <w:rsid w:val="00FD209C"/>
    <w:rsid w:val="00FD26E9"/>
    <w:rsid w:val="01145609"/>
    <w:rsid w:val="03372728"/>
    <w:rsid w:val="05F10D28"/>
    <w:rsid w:val="06304C93"/>
    <w:rsid w:val="06B03B9F"/>
    <w:rsid w:val="07021098"/>
    <w:rsid w:val="075A7CC5"/>
    <w:rsid w:val="07996868"/>
    <w:rsid w:val="08DF6E78"/>
    <w:rsid w:val="08EE243C"/>
    <w:rsid w:val="08F331AF"/>
    <w:rsid w:val="0DF540CC"/>
    <w:rsid w:val="0EE16A6A"/>
    <w:rsid w:val="103218C5"/>
    <w:rsid w:val="10572A1C"/>
    <w:rsid w:val="111F0623"/>
    <w:rsid w:val="11993F0F"/>
    <w:rsid w:val="127F7101"/>
    <w:rsid w:val="130B7721"/>
    <w:rsid w:val="13400A54"/>
    <w:rsid w:val="1365522F"/>
    <w:rsid w:val="13A43208"/>
    <w:rsid w:val="13B22B6E"/>
    <w:rsid w:val="1445548E"/>
    <w:rsid w:val="14AB1989"/>
    <w:rsid w:val="14F73C20"/>
    <w:rsid w:val="15532E1C"/>
    <w:rsid w:val="15C84DB3"/>
    <w:rsid w:val="163C1A9D"/>
    <w:rsid w:val="164B6F7F"/>
    <w:rsid w:val="16A2106E"/>
    <w:rsid w:val="16B94831"/>
    <w:rsid w:val="17514A69"/>
    <w:rsid w:val="17C31702"/>
    <w:rsid w:val="18303657"/>
    <w:rsid w:val="1B6E6508"/>
    <w:rsid w:val="1B80434B"/>
    <w:rsid w:val="1BCD7CFC"/>
    <w:rsid w:val="1DB10050"/>
    <w:rsid w:val="1EDA5344"/>
    <w:rsid w:val="1FB21E1D"/>
    <w:rsid w:val="206D2E10"/>
    <w:rsid w:val="2091139A"/>
    <w:rsid w:val="209F1B9F"/>
    <w:rsid w:val="216655B5"/>
    <w:rsid w:val="22A64023"/>
    <w:rsid w:val="22D30469"/>
    <w:rsid w:val="230F0E90"/>
    <w:rsid w:val="23DF4FEA"/>
    <w:rsid w:val="258D2FEA"/>
    <w:rsid w:val="259823ED"/>
    <w:rsid w:val="26612036"/>
    <w:rsid w:val="279462AC"/>
    <w:rsid w:val="27E25C21"/>
    <w:rsid w:val="28842438"/>
    <w:rsid w:val="2E914EFA"/>
    <w:rsid w:val="32CB6838"/>
    <w:rsid w:val="338158F9"/>
    <w:rsid w:val="33F97268"/>
    <w:rsid w:val="342E05FB"/>
    <w:rsid w:val="350440BF"/>
    <w:rsid w:val="353037C9"/>
    <w:rsid w:val="356907C5"/>
    <w:rsid w:val="35C0671D"/>
    <w:rsid w:val="36A12881"/>
    <w:rsid w:val="36E65B59"/>
    <w:rsid w:val="37097F70"/>
    <w:rsid w:val="37EF6FFF"/>
    <w:rsid w:val="39487831"/>
    <w:rsid w:val="39C975B2"/>
    <w:rsid w:val="39D67B99"/>
    <w:rsid w:val="3A541D49"/>
    <w:rsid w:val="3B434F78"/>
    <w:rsid w:val="3BEA0171"/>
    <w:rsid w:val="3BF472D2"/>
    <w:rsid w:val="3D9F12EF"/>
    <w:rsid w:val="3E432922"/>
    <w:rsid w:val="44C8157F"/>
    <w:rsid w:val="45EE19FA"/>
    <w:rsid w:val="465C00A0"/>
    <w:rsid w:val="46CE6D75"/>
    <w:rsid w:val="474F675D"/>
    <w:rsid w:val="47550036"/>
    <w:rsid w:val="47571378"/>
    <w:rsid w:val="48764425"/>
    <w:rsid w:val="4A6244BF"/>
    <w:rsid w:val="4AC672A7"/>
    <w:rsid w:val="4C200D7C"/>
    <w:rsid w:val="4CFA7FA2"/>
    <w:rsid w:val="4D9B63B0"/>
    <w:rsid w:val="4D9F75D5"/>
    <w:rsid w:val="4E012751"/>
    <w:rsid w:val="4E0E046C"/>
    <w:rsid w:val="4E255D2C"/>
    <w:rsid w:val="4EA01857"/>
    <w:rsid w:val="4EBB043F"/>
    <w:rsid w:val="4F9A44F8"/>
    <w:rsid w:val="4FCE49E0"/>
    <w:rsid w:val="4FE263F3"/>
    <w:rsid w:val="50100EC1"/>
    <w:rsid w:val="51401A17"/>
    <w:rsid w:val="51C439DD"/>
    <w:rsid w:val="520A2FB7"/>
    <w:rsid w:val="524F5CF2"/>
    <w:rsid w:val="52FA2727"/>
    <w:rsid w:val="530C74BB"/>
    <w:rsid w:val="54B8027F"/>
    <w:rsid w:val="5512481B"/>
    <w:rsid w:val="562B3BFF"/>
    <w:rsid w:val="56C41A9C"/>
    <w:rsid w:val="5829466B"/>
    <w:rsid w:val="593E7CA2"/>
    <w:rsid w:val="5B001F84"/>
    <w:rsid w:val="5B0605E7"/>
    <w:rsid w:val="5BD82007"/>
    <w:rsid w:val="5CED421D"/>
    <w:rsid w:val="5D08264C"/>
    <w:rsid w:val="5E341674"/>
    <w:rsid w:val="5F0079AC"/>
    <w:rsid w:val="5F4F68D7"/>
    <w:rsid w:val="5F795ED8"/>
    <w:rsid w:val="60642FB8"/>
    <w:rsid w:val="60872883"/>
    <w:rsid w:val="611F5D3A"/>
    <w:rsid w:val="62955E0F"/>
    <w:rsid w:val="63E50A52"/>
    <w:rsid w:val="63EA3DD7"/>
    <w:rsid w:val="64654C7D"/>
    <w:rsid w:val="65A47E0F"/>
    <w:rsid w:val="65DA1AFC"/>
    <w:rsid w:val="668814CB"/>
    <w:rsid w:val="66B36653"/>
    <w:rsid w:val="678073F2"/>
    <w:rsid w:val="68747EC5"/>
    <w:rsid w:val="6B413622"/>
    <w:rsid w:val="6B4A0729"/>
    <w:rsid w:val="6CBD41A8"/>
    <w:rsid w:val="6D800432"/>
    <w:rsid w:val="6E2711F5"/>
    <w:rsid w:val="6EC06603"/>
    <w:rsid w:val="70C37011"/>
    <w:rsid w:val="71C1726B"/>
    <w:rsid w:val="729B3306"/>
    <w:rsid w:val="740A07AE"/>
    <w:rsid w:val="75F757A2"/>
    <w:rsid w:val="7A323073"/>
    <w:rsid w:val="7D3236EF"/>
    <w:rsid w:val="7FB62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line="360" w:lineRule="exact"/>
      <w:outlineLvl w:val="1"/>
    </w:pPr>
    <w:rPr>
      <w:rFonts w:ascii="Times New Roman" w:hAnsi="Times New Roman" w:eastAsia="宋体" w:cs="Times New Roman"/>
      <w:bCs/>
      <w:szCs w:val="32"/>
    </w:rPr>
  </w:style>
  <w:style w:type="paragraph" w:styleId="4">
    <w:name w:val="heading 3"/>
    <w:basedOn w:val="1"/>
    <w:next w:val="1"/>
    <w:qFormat/>
    <w:uiPriority w:val="0"/>
    <w:pPr>
      <w:keepNext/>
      <w:keepLines/>
      <w:tabs>
        <w:tab w:val="left" w:pos="0"/>
        <w:tab w:val="left" w:pos="91"/>
        <w:tab w:val="left" w:pos="132"/>
        <w:tab w:val="left" w:pos="377"/>
        <w:tab w:val="left" w:pos="479"/>
        <w:tab w:val="left" w:pos="561"/>
        <w:tab w:val="left" w:pos="582"/>
        <w:tab w:val="left" w:pos="643"/>
      </w:tabs>
      <w:outlineLvl w:val="2"/>
    </w:pPr>
    <w:rPr>
      <w:b/>
      <w:szCs w:val="26"/>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34"/>
    <w:semiHidden/>
    <w:unhideWhenUsed/>
    <w:qFormat/>
    <w:uiPriority w:val="99"/>
    <w:pPr>
      <w:spacing w:after="120"/>
    </w:pPr>
  </w:style>
  <w:style w:type="paragraph" w:styleId="5">
    <w:name w:val="List 3"/>
    <w:basedOn w:val="1"/>
    <w:next w:val="1"/>
    <w:qFormat/>
    <w:uiPriority w:val="0"/>
    <w:pPr>
      <w:ind w:left="100" w:leftChars="400" w:hanging="200" w:hangingChars="200"/>
      <w:contextualSpacing/>
    </w:pPr>
    <w:rPr>
      <w:szCs w:val="24"/>
    </w:rPr>
  </w:style>
  <w:style w:type="paragraph" w:styleId="6">
    <w:name w:val="Normal Indent"/>
    <w:basedOn w:val="1"/>
    <w:next w:val="1"/>
    <w:qFormat/>
    <w:uiPriority w:val="0"/>
    <w:pPr>
      <w:ind w:firstLine="420"/>
    </w:pPr>
  </w:style>
  <w:style w:type="paragraph" w:styleId="7">
    <w:name w:val="annotation text"/>
    <w:basedOn w:val="1"/>
    <w:link w:val="23"/>
    <w:qFormat/>
    <w:uiPriority w:val="99"/>
    <w:pPr>
      <w:kinsoku w:val="0"/>
      <w:overflowPunct w:val="0"/>
      <w:autoSpaceDE w:val="0"/>
      <w:autoSpaceDN w:val="0"/>
      <w:adjustRightInd w:val="0"/>
      <w:spacing w:line="360" w:lineRule="auto"/>
      <w:ind w:firstLine="200" w:firstLineChars="200"/>
      <w:jc w:val="left"/>
    </w:pPr>
    <w:rPr>
      <w:rFonts w:ascii="Calibri" w:hAnsi="Calibri" w:eastAsia="宋体" w:cs="Times New Roman"/>
      <w:sz w:val="24"/>
    </w:rPr>
  </w:style>
  <w:style w:type="paragraph" w:styleId="8">
    <w:name w:val="Block Text"/>
    <w:basedOn w:val="1"/>
    <w:qFormat/>
    <w:uiPriority w:val="0"/>
    <w:pPr>
      <w:textAlignment w:val="baseline"/>
    </w:pPr>
    <w:rPr>
      <w:spacing w:val="-2"/>
    </w:rPr>
  </w:style>
  <w:style w:type="paragraph" w:styleId="9">
    <w:name w:val="Body Text Indent 2"/>
    <w:basedOn w:val="1"/>
    <w:qFormat/>
    <w:uiPriority w:val="0"/>
    <w:pPr>
      <w:ind w:firstLine="560"/>
    </w:pPr>
    <w:rPr>
      <w:sz w:val="28"/>
    </w:rPr>
  </w:style>
  <w:style w:type="paragraph" w:styleId="10">
    <w:name w:val="Balloon Text"/>
    <w:basedOn w:val="1"/>
    <w:link w:val="24"/>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4">
    <w:name w:val="Table Grid"/>
    <w:basedOn w:val="1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annotation reference"/>
    <w:qFormat/>
    <w:uiPriority w:val="99"/>
    <w:rPr>
      <w:rFonts w:cs="Times New Roman"/>
      <w:sz w:val="21"/>
      <w:szCs w:val="21"/>
    </w:rPr>
  </w:style>
  <w:style w:type="paragraph" w:customStyle="1" w:styleId="17">
    <w:name w:val="样式 正文缩进正文缩进2正文缩进 Char Char正文缩进 Char Char Char Char正文缩进 Char ..."/>
    <w:basedOn w:val="6"/>
    <w:qFormat/>
    <w:uiPriority w:val="0"/>
    <w:pPr>
      <w:ind w:firstLine="200"/>
    </w:pPr>
    <w:rPr>
      <w:rFonts w:cs="宋体"/>
    </w:rPr>
  </w:style>
  <w:style w:type="paragraph" w:customStyle="1" w:styleId="18">
    <w:name w:val="Default"/>
    <w:next w:val="5"/>
    <w:qFormat/>
    <w:uiPriority w:val="0"/>
    <w:pPr>
      <w:widowControl w:val="0"/>
      <w:autoSpaceDE w:val="0"/>
      <w:autoSpaceDN w:val="0"/>
      <w:adjustRightInd w:val="0"/>
    </w:pPr>
    <w:rPr>
      <w:rFonts w:ascii="Times New Roman" w:hAnsi="Times New Roman" w:eastAsia="宋体" w:cs="Times New Roman"/>
      <w:lang w:val="en-US" w:eastAsia="zh-CN" w:bidi="ar-SA"/>
    </w:rPr>
  </w:style>
  <w:style w:type="character" w:customStyle="1" w:styleId="19">
    <w:name w:val="页眉 字符"/>
    <w:basedOn w:val="15"/>
    <w:link w:val="12"/>
    <w:qFormat/>
    <w:uiPriority w:val="99"/>
    <w:rPr>
      <w:sz w:val="18"/>
      <w:szCs w:val="18"/>
    </w:rPr>
  </w:style>
  <w:style w:type="character" w:customStyle="1" w:styleId="20">
    <w:name w:val="页脚 字符"/>
    <w:basedOn w:val="15"/>
    <w:link w:val="11"/>
    <w:qFormat/>
    <w:uiPriority w:val="99"/>
    <w:rPr>
      <w:sz w:val="18"/>
      <w:szCs w:val="18"/>
    </w:rPr>
  </w:style>
  <w:style w:type="paragraph" w:customStyle="1" w:styleId="21">
    <w:name w:val="表格1"/>
    <w:basedOn w:val="1"/>
    <w:link w:val="22"/>
    <w:qFormat/>
    <w:uiPriority w:val="99"/>
    <w:pPr>
      <w:kinsoku w:val="0"/>
      <w:overflowPunct w:val="0"/>
      <w:autoSpaceDE w:val="0"/>
      <w:autoSpaceDN w:val="0"/>
      <w:adjustRightInd w:val="0"/>
      <w:jc w:val="center"/>
    </w:pPr>
    <w:rPr>
      <w:rFonts w:ascii="Calibri" w:hAnsi="Calibri" w:eastAsia="宋体" w:cs="Times New Roman"/>
    </w:rPr>
  </w:style>
  <w:style w:type="character" w:customStyle="1" w:styleId="22">
    <w:name w:val="表格1 Char"/>
    <w:basedOn w:val="15"/>
    <w:link w:val="21"/>
    <w:qFormat/>
    <w:locked/>
    <w:uiPriority w:val="99"/>
    <w:rPr>
      <w:rFonts w:ascii="Calibri" w:hAnsi="Calibri" w:eastAsia="宋体" w:cs="Times New Roman"/>
    </w:rPr>
  </w:style>
  <w:style w:type="character" w:customStyle="1" w:styleId="23">
    <w:name w:val="批注文字 字符"/>
    <w:basedOn w:val="15"/>
    <w:link w:val="7"/>
    <w:qFormat/>
    <w:uiPriority w:val="99"/>
    <w:rPr>
      <w:rFonts w:ascii="Calibri" w:hAnsi="Calibri" w:eastAsia="宋体" w:cs="Times New Roman"/>
      <w:sz w:val="24"/>
    </w:rPr>
  </w:style>
  <w:style w:type="character" w:customStyle="1" w:styleId="24">
    <w:name w:val="批注框文本 字符"/>
    <w:basedOn w:val="15"/>
    <w:link w:val="10"/>
    <w:semiHidden/>
    <w:qFormat/>
    <w:uiPriority w:val="99"/>
    <w:rPr>
      <w:sz w:val="18"/>
      <w:szCs w:val="18"/>
    </w:rPr>
  </w:style>
  <w:style w:type="paragraph" w:customStyle="1" w:styleId="25">
    <w:name w:val="普通(网站)1"/>
    <w:basedOn w:val="1"/>
    <w:qFormat/>
    <w:uiPriority w:val="0"/>
    <w:pPr>
      <w:spacing w:before="100" w:beforeAutospacing="1" w:after="100" w:afterAutospacing="1"/>
    </w:pPr>
    <w:rPr>
      <w:rFonts w:ascii="宋体" w:hAnsi="宋体" w:eastAsia="宋体" w:cs="宋体"/>
      <w:sz w:val="24"/>
      <w:szCs w:val="24"/>
    </w:rPr>
  </w:style>
  <w:style w:type="paragraph" w:customStyle="1" w:styleId="26">
    <w:name w:val="列表段落1"/>
    <w:basedOn w:val="1"/>
    <w:unhideWhenUsed/>
    <w:qFormat/>
    <w:uiPriority w:val="99"/>
    <w:pPr>
      <w:ind w:firstLine="420" w:firstLineChars="200"/>
    </w:pPr>
  </w:style>
  <w:style w:type="paragraph" w:customStyle="1" w:styleId="27">
    <w:name w:val="样式1"/>
    <w:basedOn w:val="28"/>
    <w:qFormat/>
    <w:uiPriority w:val="0"/>
    <w:pPr>
      <w:spacing w:line="480" w:lineRule="exact"/>
      <w:ind w:firstLine="520" w:firstLineChars="200"/>
    </w:pPr>
    <w:rPr>
      <w:sz w:val="26"/>
      <w:szCs w:val="26"/>
    </w:rPr>
  </w:style>
  <w:style w:type="paragraph" w:customStyle="1" w:styleId="28">
    <w:name w:val="正文2"/>
    <w:basedOn w:val="1"/>
    <w:qFormat/>
    <w:uiPriority w:val="0"/>
    <w:pPr>
      <w:adjustRightInd w:val="0"/>
      <w:snapToGrid w:val="0"/>
      <w:spacing w:line="440" w:lineRule="atLeast"/>
      <w:ind w:firstLine="510"/>
    </w:pPr>
    <w:rPr>
      <w:rFonts w:eastAsia="宋体"/>
    </w:rPr>
  </w:style>
  <w:style w:type="paragraph" w:customStyle="1" w:styleId="29">
    <w:name w:val="正文（张1）"/>
    <w:basedOn w:val="1"/>
    <w:qFormat/>
    <w:uiPriority w:val="0"/>
    <w:pPr>
      <w:spacing w:line="360" w:lineRule="auto"/>
      <w:ind w:firstLine="520" w:firstLineChars="200"/>
    </w:pPr>
    <w:rPr>
      <w:kern w:val="0"/>
      <w:sz w:val="24"/>
      <w:szCs w:val="20"/>
    </w:rPr>
  </w:style>
  <w:style w:type="paragraph" w:customStyle="1" w:styleId="30">
    <w:name w:val="表内字"/>
    <w:qFormat/>
    <w:uiPriority w:val="0"/>
    <w:pPr>
      <w:widowControl w:val="0"/>
      <w:autoSpaceDE w:val="0"/>
      <w:autoSpaceDN w:val="0"/>
      <w:adjustRightInd w:val="0"/>
      <w:snapToGrid w:val="0"/>
      <w:jc w:val="center"/>
    </w:pPr>
    <w:rPr>
      <w:rFonts w:ascii="Tahoma" w:hAnsi="Tahoma" w:eastAsia="宋体" w:cs="Times New Roman"/>
      <w:sz w:val="21"/>
      <w:szCs w:val="21"/>
      <w:lang w:val="en-US" w:eastAsia="zh-CN" w:bidi="ar-SA"/>
    </w:rPr>
  </w:style>
  <w:style w:type="paragraph" w:styleId="31">
    <w:name w:val="List Paragraph"/>
    <w:basedOn w:val="1"/>
    <w:qFormat/>
    <w:uiPriority w:val="99"/>
    <w:pPr>
      <w:ind w:firstLine="420" w:firstLineChars="200"/>
    </w:pPr>
  </w:style>
  <w:style w:type="paragraph" w:customStyle="1" w:styleId="32">
    <w:name w:val="Z正文内容"/>
    <w:basedOn w:val="1"/>
    <w:link w:val="33"/>
    <w:qFormat/>
    <w:uiPriority w:val="0"/>
    <w:pPr>
      <w:spacing w:line="360" w:lineRule="auto"/>
      <w:ind w:firstLine="720" w:firstLineChars="200"/>
      <w:jc w:val="left"/>
    </w:pPr>
    <w:rPr>
      <w:rFonts w:ascii="Times New Roman" w:hAnsi="Times New Roman" w:eastAsia="宋体"/>
      <w:sz w:val="24"/>
      <w:szCs w:val="24"/>
    </w:rPr>
  </w:style>
  <w:style w:type="character" w:customStyle="1" w:styleId="33">
    <w:name w:val="Z正文内容 Char"/>
    <w:link w:val="32"/>
    <w:qFormat/>
    <w:uiPriority w:val="0"/>
    <w:rPr>
      <w:rFonts w:cstheme="minorBidi"/>
      <w:kern w:val="2"/>
      <w:sz w:val="24"/>
      <w:szCs w:val="24"/>
    </w:rPr>
  </w:style>
  <w:style w:type="character" w:customStyle="1" w:styleId="34">
    <w:name w:val="正文文本 字符"/>
    <w:basedOn w:val="15"/>
    <w:link w:val="2"/>
    <w:semiHidden/>
    <w:qFormat/>
    <w:uiPriority w:val="99"/>
    <w:rPr>
      <w:rFonts w:asciiTheme="minorHAnsi" w:hAnsiTheme="minorHAnsi" w:eastAsiaTheme="minorEastAsia" w:cstheme="minorBidi"/>
      <w:kern w:val="2"/>
      <w:sz w:val="21"/>
      <w:szCs w:val="22"/>
    </w:rPr>
  </w:style>
  <w:style w:type="paragraph" w:customStyle="1" w:styleId="35">
    <w:name w:val="Z表内文字"/>
    <w:basedOn w:val="1"/>
    <w:next w:val="32"/>
    <w:qFormat/>
    <w:uiPriority w:val="0"/>
    <w:pPr>
      <w:adjustRightInd w:val="0"/>
      <w:snapToGrid w:val="0"/>
      <w:jc w:val="center"/>
    </w:pPr>
    <w:rPr>
      <w:rFonts w:ascii="Times New Roman" w:hAnsi="Times New Roman" w:eastAsia="宋体"/>
      <w:bCs/>
      <w:szCs w:val="21"/>
    </w:rPr>
  </w:style>
  <w:style w:type="paragraph" w:customStyle="1" w:styleId="36">
    <w:name w:val="Z表一内容"/>
    <w:basedOn w:val="1"/>
    <w:qFormat/>
    <w:uiPriority w:val="0"/>
    <w:pPr>
      <w:jc w:val="center"/>
    </w:pPr>
    <w:rPr>
      <w:rFonts w:eastAsia="宋体"/>
      <w:color w:val="00000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1D27E2-AF70-4C69-A7AD-D535CAB94630}">
  <ds:schemaRefs/>
</ds:datastoreItem>
</file>

<file path=docProps/app.xml><?xml version="1.0" encoding="utf-8"?>
<Properties xmlns="http://schemas.openxmlformats.org/officeDocument/2006/extended-properties" xmlns:vt="http://schemas.openxmlformats.org/officeDocument/2006/docPropsVTypes">
  <Template>Normal</Template>
  <Pages>12</Pages>
  <Words>895</Words>
  <Characters>929</Characters>
  <Lines>23</Lines>
  <Paragraphs>6</Paragraphs>
  <TotalTime>1</TotalTime>
  <ScaleCrop>false</ScaleCrop>
  <LinksUpToDate>false</LinksUpToDate>
  <CharactersWithSpaces>931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2018-05-25T02:31:00Z</dcterms:created>
  <dc:creator>Z Y</dc:creator>
  <cp:lastModifiedBy>周熊伟</cp:lastModifiedBy>
  <cp:lastPrinted>2026-01-11T06:45:07Z</cp:lastPrinted>
  <dcterms:modified xsi:type="dcterms:W3CDTF">2026-01-11T06:47:39Z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4E2B5E5C73474A39ABB81AE3119A9E36_13</vt:lpwstr>
  </property>
  <property fmtid="{D5CDD505-2E9C-101B-9397-08002B2CF9AE}" pid="4" name="KSOTemplateDocerSaveRecord">
    <vt:lpwstr>eyJoZGlkIjoiYzk3YTU0NmY3NWI5OGMzNjdhMjFmZjUzZDdlNTExYTEiLCJ1c2VySWQiOiIxNTE3OTY0Mzg0In0=</vt:lpwstr>
  </property>
</Properties>
</file>